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80010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101600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97"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6"/>
          <w:szCs w:val="16"/>
          <w:color w:val="auto"/>
        </w:rPr>
        <w:t xml:space="preserve">For the quarterly period ended </w:t>
      </w:r>
      <w:r>
        <w:rPr>
          <w:rFonts w:ascii="Times New Roman" w:cs="Times New Roman" w:eastAsia="Times New Roman" w:hAnsi="Times New Roman"/>
          <w:sz w:val="17"/>
          <w:szCs w:val="17"/>
          <w:color w:val="auto"/>
        </w:rPr>
        <w:t>May 31, 2026</w:t>
      </w:r>
    </w:p>
    <w:p>
      <w:pPr>
        <w:spacing w:after="0" w:line="3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6"/>
          <w:szCs w:val="16"/>
          <w:color w:val="auto"/>
        </w:rPr>
        <w:t>or</w:t>
      </w:r>
    </w:p>
    <w:p>
      <w:pPr>
        <w:spacing w:after="0" w:line="1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0"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6"/>
          <w:szCs w:val="16"/>
          <w:color w:val="auto"/>
        </w:rPr>
        <w:t>For the transition period from _____to _____.</w:t>
      </w:r>
    </w:p>
    <w:p>
      <w:pPr>
        <w:spacing w:after="0" w:line="2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84455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20" w:space="400"/>
            <w:col w:w="9620"/>
          </w:cols>
          <w:pgMar w:left="320" w:top="867" w:right="3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PROGRESS SOFTWARE CORPORATION</w:t>
      </w:r>
    </w:p>
    <w:p>
      <w:pPr>
        <w:spacing w:after="0" w:line="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100965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98" w:lineRule="exact"/>
        <w:rPr>
          <w:sz w:val="24"/>
          <w:szCs w:val="24"/>
          <w:color w:val="auto"/>
        </w:rPr>
      </w:pPr>
    </w:p>
    <w:tbl>
      <w:tblPr>
        <w:tblLayout w:type="fixed"/>
        <w:tblInd w:w="560" w:type="dxa"/>
        <w:tblCellMar>
          <w:top w:w="0" w:type="dxa"/>
          <w:left w:w="0" w:type="dxa"/>
          <w:bottom w:w="0" w:type="dxa"/>
          <w:right w:w="0" w:type="dxa"/>
        </w:tblCellMar>
      </w:tblPr>
      <w:tr>
        <w:trPr>
          <w:trHeight w:val="209"/>
        </w:trPr>
        <w:tc>
          <w:tcPr>
            <w:tcW w:w="5120" w:type="dxa"/>
            <w:vAlign w:val="bottom"/>
          </w:tcPr>
          <w:p>
            <w:pPr>
              <w:jc w:val="center"/>
              <w:ind w:right="122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38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04-2746201</w:t>
            </w:r>
          </w:p>
        </w:tc>
      </w:tr>
      <w:tr>
        <w:trPr>
          <w:trHeight w:val="188"/>
        </w:trPr>
        <w:tc>
          <w:tcPr>
            <w:tcW w:w="5120" w:type="dxa"/>
            <w:vAlign w:val="bottom"/>
          </w:tcPr>
          <w:p>
            <w:pPr>
              <w:jc w:val="center"/>
              <w:ind w:right="1204"/>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380" w:type="dxa"/>
            <w:vAlign w:val="bottom"/>
          </w:tcPr>
          <w:p>
            <w:pPr>
              <w:jc w:val="center"/>
              <w:ind w:left="12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95"/>
        </w:trPr>
        <w:tc>
          <w:tcPr>
            <w:tcW w:w="5120" w:type="dxa"/>
            <w:vAlign w:val="bottom"/>
          </w:tcPr>
          <w:p>
            <w:pPr>
              <w:jc w:val="center"/>
              <w:ind w:right="1224"/>
              <w:spacing w:after="0"/>
              <w:rPr>
                <w:sz w:val="20"/>
                <w:szCs w:val="20"/>
                <w:color w:val="auto"/>
              </w:rPr>
            </w:pPr>
            <w:r>
              <w:rPr>
                <w:rFonts w:ascii="Times New Roman" w:cs="Times New Roman" w:eastAsia="Times New Roman" w:hAnsi="Times New Roman"/>
                <w:sz w:val="16"/>
                <w:szCs w:val="16"/>
                <w:b w:val="1"/>
                <w:bCs w:val="1"/>
                <w:color w:val="auto"/>
              </w:rPr>
              <w:t>15 Wayside Road, Suite 400, Burlington, Massachusetts</w:t>
            </w:r>
          </w:p>
        </w:tc>
        <w:tc>
          <w:tcPr>
            <w:tcW w:w="3380" w:type="dxa"/>
            <w:vAlign w:val="bottom"/>
          </w:tcPr>
          <w:p>
            <w:pPr>
              <w:jc w:val="right"/>
              <w:ind w:right="784"/>
              <w:spacing w:after="0"/>
              <w:rPr>
                <w:sz w:val="20"/>
                <w:szCs w:val="20"/>
                <w:color w:val="auto"/>
              </w:rPr>
            </w:pPr>
            <w:r>
              <w:rPr>
                <w:rFonts w:ascii="Times New Roman" w:cs="Times New Roman" w:eastAsia="Times New Roman" w:hAnsi="Times New Roman"/>
                <w:sz w:val="16"/>
                <w:szCs w:val="16"/>
                <w:b w:val="1"/>
                <w:bCs w:val="1"/>
                <w:color w:val="auto"/>
              </w:rPr>
              <w:t>01803</w:t>
            </w:r>
          </w:p>
        </w:tc>
      </w:tr>
      <w:tr>
        <w:trPr>
          <w:trHeight w:val="188"/>
        </w:trPr>
        <w:tc>
          <w:tcPr>
            <w:tcW w:w="5120" w:type="dxa"/>
            <w:vAlign w:val="bottom"/>
          </w:tcPr>
          <w:p>
            <w:pPr>
              <w:jc w:val="center"/>
              <w:ind w:right="120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80" w:type="dxa"/>
            <w:vAlign w:val="bottom"/>
          </w:tcPr>
          <w:p>
            <w:pPr>
              <w:jc w:val="center"/>
              <w:ind w:left="118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s telephone number, including area code: </w:t>
      </w:r>
      <w:r>
        <w:rPr>
          <w:rFonts w:ascii="Times New Roman" w:cs="Times New Roman" w:eastAsia="Times New Roman" w:hAnsi="Times New Roman"/>
          <w:sz w:val="16"/>
          <w:szCs w:val="16"/>
          <w:b w:val="1"/>
          <w:bCs w:val="1"/>
          <w:color w:val="auto"/>
        </w:rPr>
        <w:t>(781) 280-4000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93345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90805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p>
      <w:pPr>
        <w:ind w:left="1700"/>
        <w:spacing w:after="0"/>
        <w:tabs>
          <w:tab w:leader="none" w:pos="4980" w:val="left"/>
          <w:tab w:leader="none" w:pos="7500" w:val="left"/>
        </w:tabs>
        <w:rPr>
          <w:sz w:val="20"/>
          <w:szCs w:val="20"/>
          <w:color w:val="auto"/>
        </w:rPr>
      </w:pPr>
      <w:r>
        <w:rPr>
          <w:rFonts w:ascii="Times New Roman" w:cs="Times New Roman" w:eastAsia="Times New Roman" w:hAnsi="Times New Roman"/>
          <w:sz w:val="16"/>
          <w:szCs w:val="16"/>
          <w:color w:val="auto"/>
        </w:rPr>
        <w:t>Title of each class</w:t>
      </w:r>
      <w:r>
        <w:rPr>
          <w:sz w:val="20"/>
          <w:szCs w:val="20"/>
          <w:color w:val="auto"/>
        </w:rPr>
        <w:tab/>
      </w:r>
      <w:r>
        <w:rPr>
          <w:rFonts w:ascii="Times New Roman" w:cs="Times New Roman" w:eastAsia="Times New Roman" w:hAnsi="Times New Roman"/>
          <w:sz w:val="16"/>
          <w:szCs w:val="16"/>
          <w:color w:val="auto"/>
        </w:rPr>
        <w:t>Trading Symbol(s)</w:t>
      </w:r>
      <w:r>
        <w:rPr>
          <w:sz w:val="20"/>
          <w:szCs w:val="20"/>
          <w:color w:val="auto"/>
        </w:rPr>
        <w:tab/>
      </w: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ind w:left="840"/>
        <w:spacing w:after="0"/>
        <w:tabs>
          <w:tab w:leader="none" w:pos="5380" w:val="left"/>
          <w:tab w:leader="none" w:pos="7840" w:val="left"/>
        </w:tabs>
        <w:rPr>
          <w:sz w:val="20"/>
          <w:szCs w:val="20"/>
          <w:color w:val="auto"/>
        </w:rPr>
      </w:pPr>
      <w:r>
        <w:rPr>
          <w:rFonts w:ascii="Times New Roman" w:cs="Times New Roman" w:eastAsia="Times New Roman" w:hAnsi="Times New Roman"/>
          <w:sz w:val="16"/>
          <w:szCs w:val="16"/>
          <w:b w:val="1"/>
          <w:bCs w:val="1"/>
          <w:color w:val="auto"/>
        </w:rPr>
        <w:t>Common Stock, $0.01 par value per share</w:t>
      </w:r>
      <w:r>
        <w:rPr>
          <w:sz w:val="20"/>
          <w:szCs w:val="20"/>
          <w:color w:val="auto"/>
        </w:rPr>
        <w:tab/>
      </w:r>
      <w:r>
        <w:rPr>
          <w:rFonts w:ascii="Times New Roman" w:cs="Times New Roman" w:eastAsia="Times New Roman" w:hAnsi="Times New Roman"/>
          <w:sz w:val="16"/>
          <w:szCs w:val="16"/>
          <w:b w:val="1"/>
          <w:bCs w:val="1"/>
          <w:color w:val="auto"/>
        </w:rPr>
        <w:t>PRGS</w:t>
      </w:r>
      <w:r>
        <w:rPr>
          <w:sz w:val="20"/>
          <w:szCs w:val="20"/>
          <w:color w:val="auto"/>
        </w:rPr>
        <w:tab/>
      </w:r>
      <w:r>
        <w:rPr>
          <w:rFonts w:ascii="Times New Roman" w:cs="Times New Roman" w:eastAsia="Times New Roman" w:hAnsi="Times New Roman"/>
          <w:sz w:val="16"/>
          <w:szCs w:val="16"/>
          <w:b w:val="1"/>
          <w:bCs w:val="1"/>
          <w:color w:val="auto"/>
        </w:rPr>
        <w:t>The Nasdaq Stock Market LLC</w:t>
      </w:r>
    </w:p>
    <w:p>
      <w:pPr>
        <w:spacing w:after="0" w:line="102"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5"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0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4"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ind w:right="2780"/>
        <w:spacing w:after="0" w:line="3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June 26, 2026, there were 41,012,942 shares of the registrant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PROGRESS SOFTWARE CORPORATION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31, 2026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12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 as of May 31, 2026 and November 30, 2025</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6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May 31, 2026 and 2025</w:t>
            </w:r>
          </w:p>
        </w:tc>
        <w:tc>
          <w:tcPr>
            <w:tcW w:w="1360" w:type="dxa"/>
            <w:vAlign w:val="bottom"/>
            <w:gridSpan w:val="3"/>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May 31, 2026 and</w:t>
            </w: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top w:val="single" w:sz="8" w:color="0000FF"/>
            </w:tcBorders>
          </w:tcPr>
          <w:p>
            <w:pPr>
              <w:ind w:left="20"/>
              <w:spacing w:after="0" w:line="142" w:lineRule="exact"/>
              <w:rPr>
                <w:sz w:val="20"/>
                <w:szCs w:val="20"/>
                <w:color w:val="auto"/>
              </w:rPr>
            </w:pPr>
            <w:r>
              <w:rPr>
                <w:rFonts w:ascii="Times New Roman" w:cs="Times New Roman" w:eastAsia="Times New Roman" w:hAnsi="Times New Roman"/>
                <w:sz w:val="16"/>
                <w:szCs w:val="16"/>
                <w:color w:val="0000FF"/>
                <w:w w:val="99"/>
              </w:rPr>
              <w:t>2025</w:t>
            </w: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2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May 31, 2026 and 2025</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May 31, 2026 and 2025</w:t>
            </w:r>
          </w:p>
        </w:tc>
        <w:tc>
          <w:tcPr>
            <w:tcW w:w="660" w:type="dxa"/>
            <w:vAlign w:val="bottom"/>
          </w:tcPr>
          <w:p>
            <w:pPr>
              <w:spacing w:after="0"/>
              <w:rPr>
                <w:sz w:val="18"/>
                <w:szCs w:val="18"/>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0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20" w:type="dxa"/>
            <w:vAlign w:val="bottom"/>
            <w:gridSpan w:val="4"/>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2"/>
          </w:tcPr>
          <w:p>
            <w:pPr>
              <w:spacing w:after="0"/>
              <w:rPr>
                <w:sz w:val="18"/>
                <w:szCs w:val="18"/>
                <w:color w:val="auto"/>
              </w:rPr>
            </w:pPr>
          </w:p>
        </w:tc>
        <w:tc>
          <w:tcPr>
            <w:tcW w:w="3080" w:type="dxa"/>
            <w:vAlign w:val="bottom"/>
            <w:gridSpan w:val="5"/>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740" w:type="dxa"/>
            <w:vAlign w:val="bottom"/>
            <w:gridSpan w:val="1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00" w:type="dxa"/>
            <w:vAlign w:val="bottom"/>
            <w:gridSpan w:val="12"/>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8180" w:type="dxa"/>
            <w:vAlign w:val="bottom"/>
            <w:gridSpan w:val="14"/>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16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0" w:type="dxa"/>
            <w:vAlign w:val="bottom"/>
            <w:gridSpan w:val="15"/>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6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20" w:type="dxa"/>
            <w:vAlign w:val="bottom"/>
          </w:tcPr>
          <w:p>
            <w:pPr>
              <w:spacing w:after="0"/>
              <w:rPr>
                <w:sz w:val="24"/>
                <w:szCs w:val="24"/>
                <w:color w:val="auto"/>
              </w:rPr>
            </w:pPr>
          </w:p>
        </w:tc>
        <w:tc>
          <w:tcPr>
            <w:tcW w:w="95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5600" w:type="dxa"/>
            <w:vAlign w:val="bottom"/>
            <w:gridSpan w:val="11"/>
          </w:tcPr>
          <w:p>
            <w:pPr>
              <w:jc w:val="right"/>
              <w:ind w:right="19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November 30, 2025</w:t>
            </w:r>
          </w:p>
        </w:tc>
        <w:tc>
          <w:tcPr>
            <w:tcW w:w="0" w:type="dxa"/>
            <w:vAlign w:val="bottom"/>
          </w:tcPr>
          <w:p>
            <w:pPr>
              <w:spacing w:after="0"/>
              <w:rPr>
                <w:sz w:val="1"/>
                <w:szCs w:val="1"/>
                <w:color w:val="auto"/>
              </w:rPr>
            </w:pPr>
          </w:p>
        </w:tc>
      </w:tr>
      <w:tr>
        <w:trPr>
          <w:trHeight w:val="20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0" w:type="dxa"/>
            <w:vAlign w:val="bottom"/>
          </w:tcPr>
          <w:p>
            <w:pPr>
              <w:spacing w:after="0"/>
              <w:rPr>
                <w:sz w:val="1"/>
                <w:szCs w:val="1"/>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Unbilled receivables, current portion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62,776</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399,965</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 non-current portion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584,028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1,309,054</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2,457,658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payroll taxes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71,804</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324,750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senior notes, current portion, net</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359,163</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809,734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non-current portion,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441,186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100,329</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authorized, 10,000,000 shares; issued, none</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5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200,000,000 shares; issued and outstanding,</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41,311,679 shares in 2026 and 42,335,700 shares in 2025</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383,696</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478,349</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2,457,658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4"/>
                <w:szCs w:val="24"/>
                <w:color w:val="auto"/>
              </w:rPr>
            </w:pPr>
          </w:p>
        </w:tc>
        <w:tc>
          <w:tcPr>
            <w:tcW w:w="28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May 31, 2025</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May 31, 2025</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109,240</w:t>
            </w: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SaaS, and professional services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366,130</w:t>
            </w:r>
          </w:p>
        </w:tc>
      </w:tr>
      <w:tr>
        <w:trPr>
          <w:trHeight w:val="223"/>
        </w:trPr>
        <w:tc>
          <w:tcPr>
            <w:tcW w:w="51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475,370</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revenue: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maintenance, SaaS, and professional services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66,648</w:t>
            </w:r>
          </w:p>
        </w:tc>
      </w:tr>
      <w:tr>
        <w:trPr>
          <w:trHeight w:val="230"/>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w:t>
            </w:r>
          </w:p>
        </w:tc>
      </w:tr>
      <w:tr>
        <w:trPr>
          <w:trHeight w:val="223"/>
        </w:trPr>
        <w:tc>
          <w:tcPr>
            <w:tcW w:w="5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costs of revenue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93,519</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381,851</w:t>
            </w: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100,973</w:t>
            </w: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development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92,945</w:t>
            </w: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51,260</w:t>
            </w:r>
          </w:p>
        </w:tc>
      </w:tr>
      <w:tr>
        <w:trPr>
          <w:trHeight w:val="229"/>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51,871</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Cyber vulnerability response expenses,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r>
      <w:tr>
        <w:trPr>
          <w:trHeight w:val="229"/>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r>
      <w:tr>
        <w:trPr>
          <w:trHeight w:val="223"/>
        </w:trPr>
        <w:tc>
          <w:tcPr>
            <w:tcW w:w="5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310,809</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71,042</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(36,567)</w:t>
            </w: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5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23"/>
        </w:trPr>
        <w:tc>
          <w:tcPr>
            <w:tcW w:w="5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(37,876)</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33,166</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27,975</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0"/>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43,154</w:t>
            </w:r>
          </w:p>
        </w:tc>
      </w:tr>
      <w:tr>
        <w:trPr>
          <w:trHeight w:val="230"/>
        </w:trPr>
        <w:tc>
          <w:tcPr>
            <w:tcW w:w="5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44,522</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5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2"/>
                <w:szCs w:val="22"/>
                <w:color w:val="auto"/>
              </w:rPr>
            </w:pPr>
          </w:p>
        </w:tc>
        <w:tc>
          <w:tcPr>
            <w:tcW w:w="24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May 31, 2026</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May 31, 2025</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May 31, 2026</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May 31, 2025</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21,073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43,886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(1,231)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19,366</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42,655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31,109</w:t>
            </w:r>
          </w:p>
        </w:tc>
      </w:tr>
      <w:tr>
        <w:trPr>
          <w:trHeight w:val="21"/>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 May 31, 2026</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0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0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5"/>
                <w:szCs w:val="15"/>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5"/>
                <w:szCs w:val="15"/>
                <w:color w:val="auto"/>
              </w:rPr>
            </w:pPr>
          </w:p>
        </w:tc>
        <w:tc>
          <w:tcPr>
            <w:tcW w:w="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Retained</w:t>
            </w:r>
          </w:p>
        </w:tc>
        <w:tc>
          <w:tcPr>
            <w:tcW w:w="12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1, 2026</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498,795</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payments related to net issuance of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 and retirements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(34,690)</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415,630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506,083</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4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8"/>
                <w:szCs w:val="18"/>
                <w:color w:val="auto"/>
              </w:rPr>
              <w:t>Six Months Ended May 31, 2026</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9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4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4"/>
                <w:szCs w:val="14"/>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478,349</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payments related to net issuance of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 and retirements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(55,091)</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415,630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506,083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 May 31, 2025</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0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line="182"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0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5"/>
                <w:szCs w:val="15"/>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5"/>
                <w:szCs w:val="15"/>
                <w:color w:val="auto"/>
              </w:rPr>
            </w:pPr>
          </w:p>
        </w:tc>
        <w:tc>
          <w:tcPr>
            <w:tcW w:w="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Retained</w:t>
            </w:r>
          </w:p>
        </w:tc>
        <w:tc>
          <w:tcPr>
            <w:tcW w:w="12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19"/>
                <w:szCs w:val="19"/>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1, 2025</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431,847</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payments related to net issuance of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 and retirements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May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362,091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49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8"/>
                <w:szCs w:val="18"/>
                <w:color w:val="auto"/>
              </w:rPr>
              <w:t>Six Months Ended May 31, 2025</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20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980" w:type="dxa"/>
            <w:vAlign w:val="bottom"/>
            <w:gridSpan w:val="3"/>
          </w:tcPr>
          <w:p>
            <w:pPr>
              <w:jc w:val="center"/>
              <w:ind w:right="80"/>
              <w:spacing w:after="0" w:line="156" w:lineRule="exact"/>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4"/>
                <w:szCs w:val="14"/>
                <w:color w:val="auto"/>
              </w:rPr>
            </w:pPr>
          </w:p>
        </w:tc>
        <w:tc>
          <w:tcPr>
            <w:tcW w:w="820" w:type="dxa"/>
            <w:vAlign w:val="bottom"/>
          </w:tcPr>
          <w:p>
            <w:pPr>
              <w:jc w:val="center"/>
              <w:ind w:right="90"/>
              <w:spacing w:after="0" w:line="156" w:lineRule="exact"/>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4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14"/>
                <w:szCs w:val="14"/>
                <w:color w:val="auto"/>
              </w:rPr>
            </w:pP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Retained</w:t>
            </w:r>
          </w:p>
        </w:tc>
        <w:tc>
          <w:tcPr>
            <w:tcW w:w="124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Shareholders'</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Capital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1"/>
                <w:szCs w:val="21"/>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Loss</w:t>
            </w:r>
          </w:p>
        </w:tc>
        <w:tc>
          <w:tcPr>
            <w:tcW w:w="20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438,788</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stock under employee stock purchase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RSUs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 payments related to net issuance of RSUs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repurchases and retirements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(50,174)</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May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362,091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31, 2026</w:t>
            </w:r>
          </w:p>
        </w:tc>
        <w:tc>
          <w:tcPr>
            <w:tcW w:w="22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May 31, 2025</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acquired intangibles and other</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73,532</w:t>
            </w:r>
          </w:p>
        </w:tc>
        <w:tc>
          <w:tcPr>
            <w:tcW w:w="0" w:type="dxa"/>
            <w:vAlign w:val="bottom"/>
          </w:tcPr>
          <w:p>
            <w:pPr>
              <w:spacing w:after="0"/>
              <w:rPr>
                <w:sz w:val="1"/>
                <w:szCs w:val="1"/>
                <w:color w:val="auto"/>
              </w:rPr>
            </w:pPr>
          </w:p>
        </w:tc>
      </w:tr>
      <w:tr>
        <w:trPr>
          <w:trHeight w:val="229"/>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31,424</w:t>
            </w:r>
          </w:p>
        </w:tc>
        <w:tc>
          <w:tcPr>
            <w:tcW w:w="0" w:type="dxa"/>
            <w:vAlign w:val="bottom"/>
          </w:tcPr>
          <w:p>
            <w:pPr>
              <w:spacing w:after="0"/>
              <w:rPr>
                <w:sz w:val="1"/>
                <w:szCs w:val="1"/>
                <w:color w:val="auto"/>
              </w:rPr>
            </w:pPr>
          </w:p>
        </w:tc>
      </w:tr>
      <w:tr>
        <w:trPr>
          <w:trHeight w:val="230"/>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0" w:type="dxa"/>
            <w:vAlign w:val="bottom"/>
          </w:tcPr>
          <w:p>
            <w:pPr>
              <w:spacing w:after="0"/>
              <w:rPr>
                <w:sz w:val="1"/>
                <w:szCs w:val="1"/>
                <w:color w:val="auto"/>
              </w:rPr>
            </w:pPr>
          </w:p>
        </w:tc>
      </w:tr>
      <w:tr>
        <w:trPr>
          <w:trHeight w:val="230"/>
        </w:trPr>
        <w:tc>
          <w:tcPr>
            <w:tcW w:w="7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Credit losses and other sales allowances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29"/>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acquisitions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equity plans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taxes related to net share settlements of equity awards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 equivalent payments to stockholders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convertible senior notes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Repayment of revolving line of credit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(118,103)</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118,077</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31, 2026</w:t>
            </w:r>
          </w:p>
        </w:tc>
        <w:tc>
          <w:tcPr>
            <w:tcW w:w="22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May 31, 2025</w:t>
            </w:r>
          </w:p>
        </w:tc>
        <w:tc>
          <w:tcPr>
            <w:tcW w:w="0" w:type="dxa"/>
            <w:vAlign w:val="bottom"/>
          </w:tcPr>
          <w:p>
            <w:pPr>
              <w:spacing w:after="0"/>
              <w:rPr>
                <w:sz w:val="1"/>
                <w:szCs w:val="1"/>
                <w:color w:val="auto"/>
              </w:rPr>
            </w:pP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 of $1,119 and $1,101 in 2026 and 2025, respectively</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0" w:type="dxa"/>
            <w:vAlign w:val="bottom"/>
          </w:tcPr>
          <w:p>
            <w:pPr>
              <w:spacing w:after="0"/>
              <w:rPr>
                <w:sz w:val="1"/>
                <w:szCs w:val="1"/>
                <w:color w:val="auto"/>
              </w:rPr>
            </w:pPr>
          </w:p>
        </w:tc>
      </w:tr>
      <w:tr>
        <w:trPr>
          <w:trHeight w:val="229"/>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560"/>
              <w:spacing w:after="0" w:line="176" w:lineRule="exact"/>
              <w:rPr>
                <w:sz w:val="20"/>
                <w:szCs w:val="20"/>
                <w:color w:val="auto"/>
              </w:rPr>
            </w:pPr>
            <w:r>
              <w:rPr>
                <w:rFonts w:ascii="Times New Roman" w:cs="Times New Roman" w:eastAsia="Times New Roman" w:hAnsi="Times New Roman"/>
                <w:sz w:val="18"/>
                <w:szCs w:val="18"/>
                <w:color w:val="auto"/>
              </w:rPr>
              <w:t>Total fair value of restricted stock awards, restricted stock units, and deferred stock units on date</w:t>
            </w: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vested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0" w:type="dxa"/>
            <w:vAlign w:val="bottom"/>
          </w:tcPr>
          <w:p>
            <w:pPr>
              <w:spacing w:after="0"/>
              <w:rPr>
                <w:sz w:val="1"/>
                <w:szCs w:val="1"/>
                <w:color w:val="auto"/>
              </w:rPr>
            </w:pPr>
          </w:p>
        </w:tc>
      </w:tr>
      <w:tr>
        <w:trPr>
          <w:trHeight w:val="234"/>
        </w:trPr>
        <w:tc>
          <w:tcPr>
            <w:tcW w:w="77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lease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of Progress Software Corporation ("Progress," the "Company," "we," "us," or "our") included herein are prepared in accordance with accounting principles generally accepted in the United States of America ("GAAP") and pursuant to the rules and regulations of the U.S. Securities and Exchange Commission ("SEC"). Certain information in the footnote disclosures of the financial statements has been condensed or omitted where it substantially duplicated information provided in the Company's latest audited consolidated financial statements, in accordance with the rules and regulations of the SEC. In our opinion, the financial statements include all adjustments of a normal recurring nature necessary for fair financial statement presentation. Interim results are not necessarily indicative of the results to be expected for the full year ending November 30, 2026. We have made estimates and assumptions that affect the amounts reported and disclosed in the financial statements and accompanying footnote disclosures. Actual results could differ significantly from these estimates.</w:t>
      </w:r>
    </w:p>
    <w:p>
      <w:pPr>
        <w:spacing w:after="0" w:line="2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footnote disclosures included in our Annual Report on Form 10-K for the fiscal year ended November 30, 2025, as filed with the SEC on January 20, 2026 (our "2025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is intended to improve the transparency and decision usefulness of income tax disclosures, primarily related to the rate reconciliation and income taxes paid information. ASU 2023-09 is effective for us beginning with the annual period ending November 30, 2026, allowing for adoption on a prospective basis or a retrospective option. The adoption of this standard only impacts disclosures and is not expected to have a material impact on our consolidated financial statements.</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and in January 2025, the FASB issued ASU No.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2025-01").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We are currently evaluating the impact that the adoption of these standards will have on our consolidated financial statements and disclosures.</w:t>
      </w:r>
    </w:p>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which modernizes the accounting for internal-use software. 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all references to software development stages and requires capitalization of software costs when management has committed to the software project and it is probable the software will be completed and perform its intended use. ASU 2025-06 will be effective for us in our first quarter of 2029, and may be adopted on a prospective basis, full retrospective basis, or modified prospective basis with a cumulative-effect adjustment through retained earnings. Early adoption is permitted. We are currently evaluating the timing, method of adoption, and impact of ASU 2025-06 on our consolidated financial statements and disclosures.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2: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our financial assets and liabilities at May 31, 2026:</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6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9"/>
                <w:szCs w:val="19"/>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Fair Value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40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our financial assets and liabilities at November 30, 2025:</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Fair Value Measurements Using</w:t>
            </w:r>
          </w:p>
        </w:tc>
        <w:tc>
          <w:tcPr>
            <w:tcW w:w="116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Fair Value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400" w:type="dxa"/>
            <w:vAlign w:val="bottom"/>
          </w:tcPr>
          <w:p>
            <w:pPr>
              <w:spacing w:after="0"/>
              <w:rPr>
                <w:sz w:val="19"/>
                <w:szCs w:val="19"/>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3</w:t>
            </w: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derivatives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(95)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bl>
    <w:p>
      <w:pPr>
        <w:spacing w:after="0" w:line="3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we are required to make judgments about assumptions market participants would use to estimate the fair value of a financial instrument.</w:t>
      </w:r>
    </w:p>
    <w:p>
      <w:pPr>
        <w:spacing w:after="0" w:line="2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We classify contingent consideration related to the Nuclia acquisition, which occurred in the third fiscal quarter of 2025, within Level 3 of the fair value hierarchy because the fair value is derived using significant unobservable inputs. We utilized the Monte Carlo simulation method to estimate the fair value of the contingent liability as of the acquisition date, and we have updated the fair value using an income approach in subsequent periods. The fair value of the contingent consideration, which is primarily dependent on the revenue of the acquired business in fiscal 2026, is remeasured each reporting period, with adjustments to fair value recorded as acquisition-related expenses in our condensed consolidated statements of operations. During the quarter ended May</w:t>
      </w:r>
    </w:p>
    <w:p>
      <w:pPr>
        <w:spacing w:after="0" w:line="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31, 2026, we adjusted the carrying value of the contingent liability to zero. The gain was reported in acquisition-related expenses in the condensed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for our contingent consideration obligation measured at fair value using Level 3 inputs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9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measurement hierarchy during the six months ended May 31, 2026 and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the Convertible Senior Notes</w:t>
      </w:r>
    </w:p>
    <w:p>
      <w:pPr>
        <w:spacing w:after="0" w:line="2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fair value and carrying value of our Convertible Senior Notes that were due and paid in April 2026 and our Convertible Senior Notes due 2030 (together referred to as "the Notes"):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May 31, 2026</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48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6"/>
              </w:rPr>
              <w:t>Fair Value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Pr>
          <w:p>
            <w:pPr>
              <w:spacing w:after="0"/>
              <w:rPr>
                <w:sz w:val="19"/>
                <w:szCs w:val="19"/>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Convertible senior notes due 2026</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359,163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357,300</w:t>
            </w:r>
          </w:p>
        </w:tc>
      </w:tr>
      <w:tr>
        <w:trPr>
          <w:trHeight w:val="230"/>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Convertible senior notes due 2030</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441,186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452,295</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800,349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809,595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carrying value of the convertible senior notes due 2026 (the "2026 Notes"), is reflected net of $0.8 million of unamortized debt issuance costs as of November 30, 2025.</w:t>
      </w:r>
    </w:p>
    <w:p>
      <w:pPr>
        <w:spacing w:after="0" w:line="30" w:lineRule="exact"/>
        <w:rPr>
          <w:rFonts w:ascii="Times New Roman" w:cs="Times New Roman" w:eastAsia="Times New Roman" w:hAnsi="Times New Roman"/>
          <w:sz w:val="19"/>
          <w:szCs w:val="19"/>
          <w:color w:val="auto"/>
          <w:vertAlign w:val="superscript"/>
        </w:rPr>
      </w:pPr>
    </w:p>
    <w:p>
      <w:pPr>
        <w:ind w:right="300" w:firstLine="8"/>
        <w:spacing w:after="0" w:line="278" w:lineRule="auto"/>
        <w:tabs>
          <w:tab w:leader="none" w:pos="145"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carrying value of the convertible senior notes due 2030 (the "2030 Notes"), is reflected net of $7.9 million and $8.8 million of unamortized debt issuance costs as of May 31, 2026 and November 30, 2025, respectively.</w:t>
      </w:r>
    </w:p>
    <w:p>
      <w:pPr>
        <w:spacing w:after="0" w:line="20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Notes is based on quoted prices in an over-the-counter market on the last trading day of the reporting period and classified within Level 2 in the fair value hierarchy.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Assets and Liabilities</w:t>
      </w:r>
    </w:p>
    <w:p>
      <w:pPr>
        <w:spacing w:after="0" w:line="2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assets and liabilities including cash and cash equivalents, accounts receivable, unbilled accounts receivable, accounts payable, and accrued liabilities approximate their respective fair values due to their immediate or short-term maturities.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Borrowings under our revolving credit facility are recorded at carrying value, which approximates fair value due to the frequent nature of such borrowings and repayments. The Company considers this a Level 2 input.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Intangible Assets and Goodwill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comprised of the following significant classes: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31, 2026</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November 30, 2025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78"/>
        </w:trPr>
        <w:tc>
          <w:tcPr>
            <w:tcW w:w="3140" w:type="dxa"/>
            <w:vAlign w:val="bottom"/>
          </w:tcPr>
          <w:p>
            <w:pPr>
              <w:spacing w:after="0"/>
              <w:rPr>
                <w:sz w:val="15"/>
                <w:szCs w:val="15"/>
                <w:color w:val="auto"/>
              </w:rPr>
            </w:pPr>
          </w:p>
        </w:tc>
        <w:tc>
          <w:tcPr>
            <w:tcW w:w="1360" w:type="dxa"/>
            <w:vAlign w:val="bottom"/>
            <w:gridSpan w:val="3"/>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9"/>
              </w:rPr>
              <w:t>Gross Carrying</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Gross 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Amortization</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Book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Amortization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Net Book Value</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151,884</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Customer-related</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400,562</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(674,388)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584,028</w:t>
            </w:r>
          </w:p>
        </w:tc>
      </w:tr>
      <w:tr>
        <w:trPr>
          <w:trHeight w:val="21"/>
        </w:trPr>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May 31, 2026, amortization expense related to intangible assets was $35.1 million and $69.5 million, respectively. In the three and six months ended May 31, 2025, amortization expense related to intangible assets was $36.6 million and $72.8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May 31, 2026,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100,582</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72,580</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in the six months ended May 31, 2026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1,309,054</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Measurement period 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1,309,750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Represents measurement period adjustments related to Nuclia during fiscal year 2026. Refer to Note 4,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xml:space="preserve"> for further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Nuclia Acquisition</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30, 2025, we completed the acquisition of Nuclia, an innovator in agentic Retrieval-Augmented Generation AI solutions, for a purchase price with an aggregate fair value of $21.4 million, which was primarily allocated to purchased technology and goodwill. The purchase consideration consisted of $20.3 million of cash paid at closing and contingent consideration with an estimated fair value of $1.1 million.</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are required to pay contingent earn-out consideration of up to $5.0 million to former Nuclia shareholders, based on the achievement of certain revenue targets during fiscal year 2026. The fair value of the earn-out liability was determined to be $1.1 million as of the acquisition date. Refer to Note 2,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for information regarding changes in the fair value of the earn-out liability, which are recorded as acquisition-related expenses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statements of operations.</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not disclosed the amount of revenues and earnings of Nuclia since acquisition, nor pro forma financial information, as those amounts are not significant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Debt</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 of May 31, 2026 and November 30, 2025, we had the following debt obligations: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99"/>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29"/>
        </w:trPr>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 convertible senior notes due 2026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360,000</w:t>
            </w:r>
          </w:p>
        </w:tc>
      </w:tr>
      <w:tr>
        <w:trPr>
          <w:trHeight w:val="229"/>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Unamortized discount and issuance costs for the 2026 Notes</w:t>
            </w:r>
          </w:p>
        </w:tc>
        <w:tc>
          <w:tcPr>
            <w:tcW w:w="2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3"/>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2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359,163</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3.5% convertible senior notes due 2030</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29"/>
        </w:trPr>
        <w:tc>
          <w:tcPr>
            <w:tcW w:w="73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3"/>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face value of long-term debt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29"/>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Unamortized discount and issuance costs for the 2030 Notes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r>
      <w:tr>
        <w:trPr>
          <w:trHeight w:val="223"/>
        </w:trPr>
        <w:tc>
          <w:tcPr>
            <w:tcW w:w="73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1,041,186</w:t>
            </w:r>
          </w:p>
        </w:tc>
      </w:tr>
      <w:tr>
        <w:trPr>
          <w:trHeight w:val="248"/>
        </w:trPr>
        <w:tc>
          <w:tcPr>
            <w:tcW w:w="73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1,400,349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firstLine="8"/>
        <w:spacing w:after="0" w:line="243" w:lineRule="auto"/>
        <w:tabs>
          <w:tab w:leader="none" w:pos="132"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Unamortized debt issuance costs related to the revolving credit facility of $9.3 million and $10.4 million are included in other assets on the condensed consolidated balance sheets as of May 31, 2026 and November 30, 2025, respectively.</w:t>
      </w:r>
    </w:p>
    <w:p>
      <w:pPr>
        <w:spacing w:after="0" w:line="200" w:lineRule="exact"/>
        <w:rPr>
          <w:sz w:val="20"/>
          <w:szCs w:val="20"/>
          <w:color w:val="auto"/>
        </w:rPr>
      </w:pPr>
    </w:p>
    <w:p>
      <w:pPr>
        <w:spacing w:after="0" w:line="2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April 2026, the Company paid $361.8 million to redeem the outstanding portion of the 2026 Notes, including the outstanding principal amount and accrued interest through the April 2026 maturity date. We funded the redemption through borrowings under our existing revolving credit facility and cash on hand.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April 2021, in connection with the pricing of the 2026 Notes, the Company entered into privately negotiated capped call transactions (the "2021 Capped Call Transactions") to reduce potential dilution to our common stock upon any conversion of the 2026 Notes and/or offset any potential cash payments the Company was required to make in excess of the principal amount of converted 2026 Notes. The 2021 Capped Call Transactions expired unexercised in April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May 31, 2026, we repaid $110.00 million on the revolving credit facility. The interest rate as of May 31, 2026 was 5.37%.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Common Stock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our Board of Directors increased the share repurchase authorization by $200.0 million to an aggregate authorization of</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$242.2 million. During the three and six months ended May 31, 2026, we repurchased and retired 1.2 million shares for $34.7 million and 1.7 million shares for $54.7 million, respectively. During the three and six months ended May 31, 2025, we repurchased and retired 0.4 million shares for $20.0 million and 0.9 million shares for $50.0 million, respectively. As of May 31, 2026, there was $147.5 million remaining under the current authorization.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the grant date and recognized over the relevant service period. We estimate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four or five years for options and three or four years for restricted stock units, and adjust the expense each period for actual forfeitures. We recognize stock-based compensation expense related to performance stock units and our employee stock purchase plan using an accelerated attribution.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right="40"/>
        <w:spacing w:after="0" w:line="255" w:lineRule="auto"/>
        <w:rPr>
          <w:sz w:val="20"/>
          <w:szCs w:val="20"/>
          <w:color w:val="auto"/>
        </w:rPr>
      </w:pPr>
      <w:r>
        <w:rPr>
          <w:rFonts w:ascii="Times New Roman" w:cs="Times New Roman" w:eastAsia="Times New Roman" w:hAnsi="Times New Roman"/>
          <w:sz w:val="18"/>
          <w:szCs w:val="18"/>
          <w:color w:val="auto"/>
        </w:rPr>
        <w:t>In 2026, 2025, and 2024, we granted performance-based restricted stock units that include two performance metrics under our Long-Term Incentive Plan ("LTIP") where the performance measurement period is three years. For the 2026, 2025, and 2024 plans, the vesting terms were based on the following: (i) 75% is based on achievement of a three-year cumulative operating income, and (ii) 25% is based on our level of attainment of specified TSR targets relative to the percentage appreciation of a specified index of companies for the respective three-year periods. The vesting of LTIP awards is also subject to continued employment of the grantees through the performance period, except in the event of a qualifying termination. In order to estimate the fair value of such awards, we used a Monte Carlo Simulation valuation model for the market condition portion of the award, and used the closing price of our common stock on the date of grant, less the present value of expected dividends when applicable, for the portion related to the performance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classification of stock-based compensation as reflected in our condensed 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maintenance, SaaS, and professional services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12,580</w:t>
            </w:r>
          </w:p>
        </w:tc>
      </w:tr>
      <w:tr>
        <w:trPr>
          <w:trHeight w:val="248"/>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are derived from licensing our products and from related services, which consist of maintenance, SaaS, and professional services. Information relating to revenue from external customers by revenue type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 transferred at a point in time:</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licenses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109,240</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 transferred over time: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203,026</w:t>
            </w: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141,515</w:t>
            </w:r>
          </w:p>
        </w:tc>
      </w:tr>
      <w:tr>
        <w:trPr>
          <w:trHeight w:val="230"/>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21,589</w:t>
            </w:r>
          </w:p>
        </w:tc>
      </w:tr>
      <w:tr>
        <w:trPr>
          <w:trHeight w:val="248"/>
        </w:trPr>
        <w:tc>
          <w:tcPr>
            <w:tcW w:w="548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Revenue</w:t>
      </w:r>
    </w:p>
    <w:p>
      <w:pPr>
        <w:spacing w:after="0" w:line="25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the following table, revenue attributed to North America includes sales to customers in the U.S. and Canada and sales to certain multinational organizations. Revenue from EMEA, Latin America, and the Asia Pacific region includes sales to customers in each region plus sales from the U.S. to distributors in these regions. Information relating to revenue from external customers from different geographical areas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139,982</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23,511</w:t>
            </w:r>
          </w:p>
        </w:tc>
      </w:tr>
      <w:tr>
        <w:trPr>
          <w:trHeight w:val="248"/>
        </w:trPr>
        <w:tc>
          <w:tcPr>
            <w:tcW w:w="548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single customer, partner, or country outside the U.S. accounted for more than 10% of our total revenue for the three and six months ended May 31, 2026 or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Receivables and Contract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billing of our non-current unbilled receivables is expected to occur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9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18,542</w:t>
            </w:r>
          </w:p>
        </w:tc>
      </w:tr>
      <w:tr>
        <w:trPr>
          <w:trHeight w:val="230"/>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w:t>
            </w:r>
          </w:p>
        </w:tc>
      </w:tr>
      <w:tr>
        <w:trPr>
          <w:trHeight w:val="22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r>
      <w:tr>
        <w:trPr>
          <w:trHeight w:val="223"/>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44,139</w:t>
            </w: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Contract assets arise when revenue is recognized in excess of billings and the right to the amount due from customers is conditioned on something other than the passage of time, such as the completion of a related performance obligation. We did not have any net contract assets as of May 31, 2026 or November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Deferred revenue is recorded when revenue is recognized subsequent to customer invoicing. Deferred revenue expected to be recognized as revenue more than one year subsequent to the balance sheet date is included in long-term liabilities on the condensed consolidated balance sheets. Our deferred revenue balance is primarily made up of deferred maintenance and deferred revenue related to our SaaS offerings.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the changes in deferred revenue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9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425,079</w:t>
            </w:r>
          </w:p>
        </w:tc>
      </w:tr>
      <w:tr>
        <w:trPr>
          <w:trHeight w:val="229"/>
        </w:trPr>
        <w:tc>
          <w:tcPr>
            <w:tcW w:w="9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and other</w:t>
            </w:r>
          </w:p>
        </w:tc>
        <w:tc>
          <w:tcPr>
            <w:tcW w:w="620" w:type="dxa"/>
            <w:vAlign w:val="bottom"/>
          </w:tcPr>
          <w:p>
            <w:pPr>
              <w:spacing w:after="0"/>
              <w:rPr>
                <w:sz w:val="19"/>
                <w:szCs w:val="19"/>
                <w:color w:val="auto"/>
              </w:rPr>
            </w:pPr>
          </w:p>
        </w:tc>
        <w:tc>
          <w:tcPr>
            <w:tcW w:w="12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499,410</w:t>
            </w:r>
          </w:p>
        </w:tc>
      </w:tr>
      <w:tr>
        <w:trPr>
          <w:trHeight w:val="23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recognized that was deferred in prior periods</w:t>
            </w: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(265,282)</w:t>
            </w:r>
          </w:p>
        </w:tc>
      </w:tr>
      <w:tr>
        <w:trPr>
          <w:trHeight w:val="230"/>
        </w:trPr>
        <w:tc>
          <w:tcPr>
            <w:tcW w:w="9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Revenue recognized from current period arrangements</w:t>
            </w:r>
          </w:p>
        </w:tc>
        <w:tc>
          <w:tcPr>
            <w:tcW w:w="6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(235,982)</w:t>
            </w:r>
          </w:p>
        </w:tc>
      </w:tr>
      <w:tr>
        <w:trPr>
          <w:trHeight w:val="248"/>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423,225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Transaction price allocated to remaining performance obligations represents contracted revenue that has not yet been recognized, which includes deferred revenue and amounts that will be invoiced and recognized as revenue in future periods. As of May 31, 2026, transaction price allocated to remaining performance obligations was $518.9 million. We expect to recognize approximately 74% of the revenue within the next year and the remainder thereafter.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Contract Costs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of our sales incentive programs meet the requirements to be capitalized. Depending upon the sales incentive program and the related revenue arrangement, such capitalized costs are amortized over the longer of (i) the product life, which is generally three to five years; or (ii) the term of the related revenue contract. We determined that a three to five year product life represents the period of benefit that we receive from these incremental costs based on both qualitative and quantitative factors, which include customer contracts, industry norms, and product upgrades. Total deferred contract costs were $5.3 million and $6.5 million as of May 31, 2026 and November 30, 2025, respectively, and are included in other current assets and other assets on our condensed consolidated balance sheets. Amortization of deferred contract costs is included in sales and marketing expense on our condensed consolidated statements of operations and was insignificant in all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Restructuring</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activity for all of our restructuring actions: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320" w:type="dxa"/>
            <w:vAlign w:val="bottom"/>
          </w:tcPr>
          <w:p>
            <w:pPr>
              <w:spacing w:after="0"/>
              <w:rPr>
                <w:sz w:val="24"/>
                <w:szCs w:val="24"/>
                <w:color w:val="auto"/>
              </w:rPr>
            </w:pPr>
          </w:p>
        </w:tc>
        <w:tc>
          <w:tcPr>
            <w:tcW w:w="1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Excess Facilities and</w:t>
            </w: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Employee</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2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Severance and</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Costs</w:t>
            </w: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Related Benefits</w:t>
            </w:r>
          </w:p>
        </w:tc>
        <w:tc>
          <w:tcPr>
            <w:tcW w:w="340" w:type="dxa"/>
            <w:vAlign w:val="bottom"/>
          </w:tcPr>
          <w:p>
            <w:pPr>
              <w:spacing w:after="0"/>
              <w:rPr>
                <w:sz w:val="21"/>
                <w:szCs w:val="21"/>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1, 2025</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disbursements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and other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May 31, 2026</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Costs incurred during the three and six months ended May 31, 2026 are primarily related to our restructuring action that commenced in fiscal year 2025 to optimize efficiency, while ensuring alignment with the Company's long-term financial objectives. Cash disbursements for expenses incurred to date under this restructuring are expected to be made through the fourth quarter of fiscal year 2026. The restructuring reserve is included in other accrued liabilities on the condensed consolidated balance sheet as of May 31, 2026. We do not expect to incur additional material expenses in connection with this restructuring.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Per Share</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and the effect of our convertible debt using the if-converted method. The following table sets forth the calculation of basic and diluted earnings per share on an interim basis: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6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5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2025</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43,154</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dilution from common stock equivalents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 from if-converted convertible notes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r>
    </w:tbl>
    <w:p>
      <w:pPr>
        <w:spacing w:after="0" w:line="3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excluded stock awards representing approximately 4,289,000 and 3,888,000 shares of common stock from the calculation of diluted earnings per share in the three and six months ended May 31, 2026, respectively, as these awards were anti-dilutive. We excluded stock awards representing approximately 776,000 and 586,000 shares of common stock, from the calculation of diluted earnings per share in the three and six months ended May 31, 2025, respectively, as these awards were anti-dilutive.</w:t>
      </w:r>
    </w:p>
    <w:p>
      <w:pPr>
        <w:spacing w:after="0" w:line="19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dilutive impact of the Notes on our calculation of diluted earnings per share is measured using the if-converted method. However, because the principal amount of the 2026 Notes was settled in cash and the principal amount of the 2030 Notes will be settled in cash, the dilutive impact of applying the if-converted method is limited to the in-the-money portion, if any. During the three and six months ended May 31, 2026, we excluded the Notes in our diluted earnings per share calculation because the conversion feature in the Notes was out of the money. During the three and six months ended May 31, 2025, we included the 2026 Notes in our diluted earnings per share calculation and we excluded the 2030 Notes in our diluted earnings per share calculation because the conversion feature in the 2030 Notes was out of the money.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segments are components of an enterprise that engages in business activities for which discrete financial information is available and regularly reviewed by the chief operating decision maker ("CODM") in deciding how to allocate resources and assess performance. Our CODM is our Chief Executive Officer.</w:t>
      </w:r>
    </w:p>
    <w:p>
      <w:pPr>
        <w:spacing w:after="0" w:line="20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 xml:space="preserve">We operate as one operating and reportable segment that is managed on a consolidated basis and derives substantially all of its revenue from the sale and support of one group of similar products and services, comprised of software products for the development, deployment, and management of responsible, AI-powered applications and digital experiences. The accounting policies of the Company's operating segment are the same as those described in Note 1, </w:t>
      </w:r>
      <w:r>
        <w:rPr>
          <w:rFonts w:ascii="Times New Roman" w:cs="Times New Roman" w:eastAsia="Times New Roman" w:hAnsi="Times New Roman"/>
          <w:sz w:val="18"/>
          <w:szCs w:val="18"/>
          <w:i w:val="1"/>
          <w:iCs w:val="1"/>
          <w:color w:val="auto"/>
        </w:rPr>
        <w:t xml:space="preserve">Nature of Business and Summary of Significant Accounting Policies </w:t>
      </w:r>
      <w:r>
        <w:rPr>
          <w:rFonts w:ascii="Times New Roman" w:cs="Times New Roman" w:eastAsia="Times New Roman" w:hAnsi="Times New Roman"/>
          <w:sz w:val="18"/>
          <w:szCs w:val="18"/>
          <w:color w:val="auto"/>
        </w:rPr>
        <w:t>to our Consolidated Financial Statements in Item 8 of our 2025 Annual Report.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CODM does not receive profitability information at a lower level than consolidated results, and evaluates net income on a consolidated basis to set financial performance targets, assess performance, and make resource allocation decisions, primarily through comparison of actual results to forecasted results, year-over-year analysis, and review of historical performance trends. The measure of segment assets is reported on the Company's consolidated balance sheets as total consolidated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expenses and other segment items are provided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7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May 31, 2025</w:t>
            </w:r>
          </w:p>
        </w:tc>
      </w:tr>
      <w:tr>
        <w:trPr>
          <w:trHeight w:val="223"/>
        </w:trPr>
        <w:tc>
          <w:tcPr>
            <w:tcW w:w="54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475,370</w:t>
            </w:r>
          </w:p>
        </w:tc>
      </w:tr>
      <w:tr>
        <w:trPr>
          <w:trHeight w:val="243"/>
        </w:trPr>
        <w:tc>
          <w:tcPr>
            <w:tcW w:w="5480" w:type="dxa"/>
            <w:vAlign w:val="bottom"/>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Costs of revenue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69,805</w:t>
            </w:r>
          </w:p>
        </w:tc>
      </w:tr>
      <w:tr>
        <w:trPr>
          <w:trHeight w:val="243"/>
        </w:trPr>
        <w:tc>
          <w:tcPr>
            <w:tcW w:w="548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94,278</w:t>
            </w:r>
          </w:p>
        </w:tc>
      </w:tr>
      <w:tr>
        <w:trPr>
          <w:trHeight w:val="243"/>
        </w:trPr>
        <w:tc>
          <w:tcPr>
            <w:tcW w:w="5480" w:type="dxa"/>
            <w:vAlign w:val="bottom"/>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83,551</w:t>
            </w:r>
          </w:p>
        </w:tc>
      </w:tr>
      <w:tr>
        <w:trPr>
          <w:trHeight w:val="243"/>
        </w:trPr>
        <w:tc>
          <w:tcPr>
            <w:tcW w:w="548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38,680</w:t>
            </w:r>
          </w:p>
        </w:tc>
      </w:tr>
      <w:tr>
        <w:trPr>
          <w:trHeight w:val="243"/>
        </w:trPr>
        <w:tc>
          <w:tcPr>
            <w:tcW w:w="5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31,424</w:t>
            </w:r>
          </w:p>
        </w:tc>
      </w:tr>
      <w:tr>
        <w:trPr>
          <w:trHeight w:val="243"/>
        </w:trPr>
        <w:tc>
          <w:tcPr>
            <w:tcW w:w="5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72,830</w:t>
            </w:r>
          </w:p>
        </w:tc>
      </w:tr>
      <w:tr>
        <w:trPr>
          <w:trHeight w:val="243"/>
        </w:trPr>
        <w:tc>
          <w:tcPr>
            <w:tcW w:w="5480" w:type="dxa"/>
            <w:vAlign w:val="bottom"/>
            <w:tcBorders>
              <w:bottom w:val="single" w:sz="8" w:color="CCEEFF"/>
            </w:tcBorders>
          </w:tcPr>
          <w:p>
            <w:pPr>
              <w:ind w:left="8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net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56,827</w:t>
            </w:r>
          </w:p>
        </w:tc>
      </w:tr>
      <w:tr>
        <w:trPr>
          <w:trHeight w:val="248"/>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Excludes amortization of intangibles and stock-based compensation.</w:t>
      </w: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Excludes stock-based compensation.</w:t>
      </w:r>
    </w:p>
    <w:p>
      <w:pPr>
        <w:spacing w:after="0" w:line="11"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Includes restructuring expenses, acquisition-related expenses, cyber vulnerability response expenses, net, interest expense, interest income and other, net, foreign currency loss, net, and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provision for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Cyber Related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MOVEit Vulnerability</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(the "MOVEit Vulnerability"). As a result of the MOVEit Vulnerability, we are party to certain class action lawsuits filed by individuals who claim to have been impacted by the exfiltration of data from the environments of our MOVEit Transfer customers, which have been centralized in multi-district litigation in the District of Massachusetts (the "MDL"). The MDL has also consolidated an insurance subrogation complaint (where an insurer is seeking recovery for expenses incurred on behalf of its insured in connection with the MOVEit Vulnerability) and, as of the date of this filing, one customer cross-claim. Motions to dismiss were filed and partially granted in July 2025, then further partially granted in January 2026 in response to our motions for reconsideration. In all, the court has dismissed, in whole or in part, 23 of the 33 claims asserted by the bellwether plaintiffs in the MDL. The court has ordered the conclusion of fact discovery by September 29, 2026, and that the filing of class certification briefing will begin on August 28, 2026, and continue into the fourth quarter of 2026. The MDL is not expected to conclude within the next twelve months.</w:t>
      </w:r>
    </w:p>
    <w:p>
      <w:pPr>
        <w:spacing w:after="0" w:line="2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previously disclosed, we have also cooperated with inquiries and investigations from various governmental authorities, a number of which have been formally closed and, as of the date of this filing, have not resulted in any prosecution or enforcement actions.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Expenses Incurred and Future Costs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May 31, 2026, we incurred net costs of approximately $1.3 million and $2.6 million, respectively, related to the MOVEit Vulnerability. The costs recognized are net of insurance recoveries of $2.4 million and $3.4 million for the three and six months ended May 31, 2026, respectively. During the three and six months ended May 31, 2025, we incurred net costs of approximately $0.7 million and $1.5 million, respectively, related to the MOVEit Vulnerability. The costs recognized are net of insurance recoveries of $0.6 million and $1.3 million for the three and six months ended May 31, 2025, respectively. The timing of recognizing insurance recoveries may differ from the timing of recognizing the associated expenses.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continue to incur legal and professional services expenses associated with the MOVEit Vulnerability in future periods. We will recognize these expenses as services are received, net of insurance recoveries. While a loss from these matters is reasonably possible, we cannot reasonably estimate a range of possible losses at this time, particularly while the foregoing matters remain ongoing. Furthermore, with respect to the MDL, alleged damages have not been specified, there is uncertainty as to the likelihood of a class or classes being certified or the ultimate size of any class if certified, and there are significant factual and legal issues to be resolved. With respect to the governmental inquiries and investigations, we are currently unable to reasonably estimate any possible adverse judgments, settlements, fines, or penalties. Therefore, we have not recorded a loss contingency liability for the MOVEit Vulnerability as of May 31,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Coverage</w:t>
      </w:r>
    </w:p>
    <w:p>
      <w:pPr>
        <w:spacing w:after="0" w:line="254"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During the period when the MOVEit Vulnerability occurred, we maintained $15.0 million of cybersecurity insurance coverage, which has reduced our exposure to expenses and liabilities arising from these events. As of May 31, 2026, we have approximately $1.1 million of remaining cybersecurity insurance coverage under the applicable policy. We will pursue recoveries to the maximum extent available under our insurance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may contain information that are "forward-looking statements" within the meaning of Section 27A of the Securities Act of 1933, as amended; Section 21E of the Securities Exchange Act of 1934, as amended; and the Private Securities Litigation Reform Act of 1995.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Actual future results may differ materially from those contained in or implied by our forward-looking statements due to various factors which are more fully described in Part I, Item 1A. Risk Factors in our 2025 Annual Report as well as any risk factors described in Part II, Item 1A of this Quarterly Report on Form 10-Q. Although we have sought to identify the most significant risks to our business, we cannot predict whether, or to what extent, any of such risks may be realized. We also cannot assure you that we have identified all possible issues that we might face. We undertake no obligation to update any forward-looking statements that we make.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Progress Software Corporation ("Progress," the "Company," "we," "us," or "our") provides software products that enable our customers to develop, deploy and manage responsible AI-powered applications and digital experiences.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are based upon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are believed to be reasonable under the circumstances. However, actual results may differ from these estimates. The most significant estimates relate to revenue recognition, loss contingencies and the MOVEit Vulnerability, and business combinations. For further information regarding the application of these and other accounting policies, see Note 1, </w:t>
      </w:r>
      <w:r>
        <w:rPr>
          <w:rFonts w:ascii="Times New Roman" w:cs="Times New Roman" w:eastAsia="Times New Roman" w:hAnsi="Times New Roman"/>
          <w:sz w:val="18"/>
          <w:szCs w:val="18"/>
          <w:i w:val="1"/>
          <w:iCs w:val="1"/>
          <w:color w:val="auto"/>
        </w:rPr>
        <w:t>Nature of Business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to our Consolidated Financial Statements in Item 8 of our 2025 Annual Report. There have been no significant changes to our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and estimates since our 2025 Annual Report.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Use of Constant Currency</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20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 exchange rates are an important factor in understanding period to 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accounting principles generally accepted in the United States of America.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99"/>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6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May 31, 2026</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Pr>
          <w:p>
            <w:pPr>
              <w:spacing w:after="0"/>
              <w:rPr>
                <w:sz w:val="19"/>
                <w:szCs w:val="19"/>
                <w:color w:val="auto"/>
              </w:rPr>
            </w:pPr>
          </w:p>
        </w:tc>
        <w:tc>
          <w:tcPr>
            <w:tcW w:w="17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237,355</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594"/>
        </w:trPr>
        <w:tc>
          <w:tcPr>
            <w:tcW w:w="4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346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May 31, 2026</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Pr>
          <w:p>
            <w:pPr>
              <w:spacing w:after="0"/>
              <w:rPr>
                <w:sz w:val="19"/>
                <w:szCs w:val="19"/>
                <w:color w:val="auto"/>
              </w:rPr>
            </w:pPr>
          </w:p>
        </w:tc>
        <w:tc>
          <w:tcPr>
            <w:tcW w:w="17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475,370</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bl>
    <w:p>
      <w:pPr>
        <w:spacing w:after="0" w:line="30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Total revenue increased in the second quarter of fiscal year 2026 as compared to the same period last year primarily due to increases in license sales as well as a positive impact from foreign currency exchange, while maintenance, SaaS, and professional services were essentially unchanged from prior periods.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Software Licenses Revenue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99"/>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May 31, 2026</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Pr>
          <w:p>
            <w:pPr>
              <w:spacing w:after="0"/>
              <w:rPr>
                <w:sz w:val="19"/>
                <w:szCs w:val="19"/>
                <w:color w:val="auto"/>
              </w:rPr>
            </w:pPr>
          </w:p>
        </w:tc>
        <w:tc>
          <w:tcPr>
            <w:tcW w:w="176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As Reported</w:t>
            </w: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50,795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87"/>
        </w:trPr>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3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Percentage Change</w:t>
            </w: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May 31, 2026</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Pr>
          <w:p>
            <w:pPr>
              <w:spacing w:after="0"/>
              <w:rPr>
                <w:sz w:val="19"/>
                <w:szCs w:val="19"/>
                <w:color w:val="auto"/>
              </w:rPr>
            </w:pPr>
          </w:p>
        </w:tc>
        <w:tc>
          <w:tcPr>
            <w:tcW w:w="176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As Reported</w:t>
            </w:r>
          </w:p>
        </w:tc>
        <w:tc>
          <w:tcPr>
            <w:tcW w:w="16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Constant Currency</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136,560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109,240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31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Software licenses revenue increased in the second quarter of fiscal year 2026 primarily due to increases in our DataDirect, Chef, and MarkLogic product offerings. Software licenses revenue increased in the first six months of fiscal year 2026 primarily due to increases in our DataDirect, MarkLogic, and OpenEdge product offerings.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Maintenance, SaaS, and Professional Services Revenue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Percentage Change</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31, 2026</w:t>
            </w:r>
          </w:p>
        </w:tc>
        <w:tc>
          <w:tcPr>
            <w:tcW w:w="1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Pr>
          <w:p>
            <w:pPr>
              <w:spacing w:after="0"/>
              <w:rPr>
                <w:sz w:val="19"/>
                <w:szCs w:val="19"/>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Constant Currency</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101,222</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103,491</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44 %</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73,005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72,105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10,259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10,964</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maintenance, SaaS, and professional services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184,486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186,560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7"/>
        </w:trPr>
        <w:tc>
          <w:tcPr>
            <w:tcW w:w="4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Six Months Ended</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Percentage Change</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31, 2026</w:t>
            </w:r>
          </w:p>
        </w:tc>
        <w:tc>
          <w:tcPr>
            <w:tcW w:w="16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May 31, 2025</w:t>
            </w:r>
          </w:p>
        </w:tc>
        <w:tc>
          <w:tcPr>
            <w:tcW w:w="120" w:type="dxa"/>
            <w:vAlign w:val="bottom"/>
          </w:tcPr>
          <w:p>
            <w:pPr>
              <w:spacing w:after="0"/>
              <w:rPr>
                <w:sz w:val="19"/>
                <w:szCs w:val="19"/>
                <w:color w:val="auto"/>
              </w:rPr>
            </w:pP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Constant Currency</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201,561</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203,026</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43 %</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143,466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141,515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29 %</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19,677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21,589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maintenance, SaaS, and professional services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364,704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366,130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77 %</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Maintenance and SaaS revenue were essentially unchanged from prior periods. Professional services revenue decreased across multiple product offerings as compared to the same periods last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Software Licenses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Six Months Ended</w:t>
            </w: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Percentage</w:t>
            </w: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software licenses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82"/>
        </w:trPr>
        <w:tc>
          <w:tcPr>
            <w:tcW w:w="28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As a percentage of software licenses</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6 %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Cost of software licenses consists primarily of royalties, electronic software distribution, duplication, and packaging. Cost of software licenses as a percentage of software license revenue varies from period to period depending upon the relative product mix. The increases in the second quarter and first six months of fiscal year 2026 compared to the same periods last year were related to increased royalty costs.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Cost of Maintenance, SaaS, and Professional Services</w:t>
      </w:r>
    </w:p>
    <w:p>
      <w:pPr>
        <w:sectPr>
          <w:pgSz w:w="11900" w:h="16838" w:orient="portrait"/>
          <w:cols w:equalWidth="0" w:num="1">
            <w:col w:w="11240"/>
          </w:cols>
          <w:pgMar w:left="320" w:top="7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8" w:lineRule="exact"/>
        <w:rPr>
          <w:sz w:val="20"/>
          <w:szCs w:val="20"/>
          <w:color w:val="auto"/>
        </w:rPr>
      </w:pPr>
    </w:p>
    <w:p>
      <w:pPr>
        <w:ind w:left="20" w:right="520"/>
        <w:spacing w:after="0" w:line="237" w:lineRule="auto"/>
        <w:rPr>
          <w:sz w:val="20"/>
          <w:szCs w:val="20"/>
          <w:color w:val="auto"/>
        </w:rPr>
      </w:pPr>
      <w:r>
        <w:rPr>
          <w:rFonts w:ascii="Times New Roman" w:cs="Times New Roman" w:eastAsia="Times New Roman" w:hAnsi="Times New Roman"/>
          <w:sz w:val="18"/>
          <w:szCs w:val="18"/>
          <w:color w:val="auto"/>
        </w:rPr>
        <w:t>Cost of maintenance, SaaS, and professional services</w:t>
      </w:r>
    </w:p>
    <w:p>
      <w:pPr>
        <w:spacing w:after="0" w:line="8" w:lineRule="exact"/>
        <w:rPr>
          <w:sz w:val="20"/>
          <w:szCs w:val="20"/>
          <w:color w:val="auto"/>
        </w:rPr>
      </w:pPr>
    </w:p>
    <w:p>
      <w:pPr>
        <w:ind w:left="20"/>
        <w:spacing w:after="0" w:line="265" w:lineRule="auto"/>
        <w:rPr>
          <w:sz w:val="20"/>
          <w:szCs w:val="20"/>
          <w:color w:val="auto"/>
        </w:rPr>
      </w:pPr>
      <w:r>
        <w:rPr>
          <w:rFonts w:ascii="Times New Roman" w:cs="Times New Roman" w:eastAsia="Times New Roman" w:hAnsi="Times New Roman"/>
          <w:sz w:val="17"/>
          <w:szCs w:val="17"/>
          <w:i w:val="1"/>
          <w:iCs w:val="1"/>
          <w:color w:val="auto"/>
        </w:rPr>
        <w:t>As a percentage of maintenance, SaaS, and professional services revenue</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0"/>
                <w:szCs w:val="20"/>
                <w:color w:val="auto"/>
              </w:rPr>
            </w:pPr>
          </w:p>
        </w:tc>
      </w:tr>
      <w:tr>
        <w:trPr>
          <w:trHeight w:val="169"/>
        </w:trPr>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2025</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399"/>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32,259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33,764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64,359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66,648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8"/>
        </w:trPr>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-530860</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2820" w:space="40"/>
            <w:col w:w="8380"/>
          </w:cols>
          <w:pgMar w:left="320" w:top="767" w:right="339" w:bottom="1440" w:gutter="0" w:footer="0" w:header="0"/>
          <w:type w:val="continuous"/>
        </w:sectPr>
      </w:pPr>
    </w:p>
    <w:p>
      <w:pPr>
        <w:spacing w:after="0" w:line="1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maintenance, SaaS, and professional services consist primarily of hosting costs, and personnel-related costs attributable to customer support, cloud operations, consulting, and education. The decreases in all periods shown are primarily due to decreased contractors and headcount related costs in fiscal year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Intangibles – Costs of Revenue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53"/>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4"/>
                <w:szCs w:val="24"/>
                <w:color w:val="auto"/>
              </w:rPr>
            </w:pPr>
          </w:p>
        </w:tc>
      </w:tr>
      <w:tr>
        <w:trPr>
          <w:trHeight w:val="178"/>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May 31,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20,959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3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included in costs of revenue primarily represents the amortization of the value assigned to technology-related intangible assets obtained in business combinations. The year-over-year decreases in all periods shown are due to the run-off of existing intangible assets over the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00"/>
        </w:trPr>
        <w:tc>
          <w:tcPr>
            <w:tcW w:w="2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4"/>
                <w:szCs w:val="24"/>
                <w:color w:val="auto"/>
              </w:rPr>
            </w:pPr>
          </w:p>
        </w:tc>
      </w:tr>
      <w:tr>
        <w:trPr>
          <w:trHeight w:val="169"/>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2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8"/>
              </w:rPr>
              <w:t>Change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106,338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100,973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31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in all periods presented due to increased personnel-related costs, partially offset by lower marketing and sales events costs. These costs as a percentage of total revenue were 21% in all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9"/>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4"/>
                <w:szCs w:val="24"/>
                <w:color w:val="auto"/>
              </w:rPr>
            </w:pPr>
          </w:p>
        </w:tc>
      </w:tr>
      <w:tr>
        <w:trPr>
          <w:trHeight w:val="169"/>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46,570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92,945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increased in all periods presented primarily due to increased personnel-related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6"/>
        </w:trPr>
        <w:tc>
          <w:tcPr>
            <w:tcW w:w="2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9"/>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4"/>
                <w:szCs w:val="24"/>
                <w:color w:val="auto"/>
              </w:rPr>
            </w:pPr>
          </w:p>
        </w:tc>
      </w:tr>
      <w:tr>
        <w:trPr>
          <w:trHeight w:val="169"/>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32,236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58,740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51,260</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31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the costs of our finance, human resources, legal, information systems, and administrative departments. The increases in all periods shown was due to higher stock-based compensation expense and additional reserves related to our receivables, partially offset by lower contractors and outside services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Intangibles – Operating Expenses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0"/>
                <w:szCs w:val="20"/>
                <w:color w:val="auto"/>
              </w:rPr>
            </w:pPr>
          </w:p>
        </w:tc>
      </w:tr>
      <w:tr>
        <w:trPr>
          <w:trHeight w:val="169"/>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26,167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51,871</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included in operating expenses primarily represents the amortization of value assigned to intangible assets obtained in business combinations other than assets identified as purchased technology. Amortization of acquired intangibles decreased in all periods shown due to the run-off of existing intangible assets over the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 Vulnerability Response Expenses, Net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Three Months Ended</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Six Months Ended</w:t>
            </w:r>
          </w:p>
        </w:tc>
        <w:tc>
          <w:tcPr>
            <w:tcW w:w="1360" w:type="dxa"/>
            <w:vAlign w:val="bottom"/>
            <w:tcBorders>
              <w:bottom w:val="single" w:sz="8" w:color="auto"/>
            </w:tcBorders>
          </w:tcPr>
          <w:p>
            <w:pPr>
              <w:spacing w:after="0"/>
              <w:rPr>
                <w:sz w:val="20"/>
                <w:szCs w:val="20"/>
                <w:color w:val="auto"/>
              </w:rPr>
            </w:pPr>
          </w:p>
        </w:tc>
      </w:tr>
      <w:tr>
        <w:trPr>
          <w:trHeight w:val="178"/>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164"/>
        </w:trPr>
        <w:tc>
          <w:tcPr>
            <w:tcW w:w="290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Cyber vulnerability response expenses,</w:t>
            </w: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234"/>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8"/>
                <w:szCs w:val="18"/>
                <w:i w:val="1"/>
                <w:iCs w:val="1"/>
                <w:color w:val="auto"/>
              </w:rPr>
              <w:t>— %</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i w:val="1"/>
                <w:iCs w:val="1"/>
                <w:color w:val="auto"/>
              </w:rPr>
              <w:t>— %</w:t>
            </w:r>
          </w:p>
        </w:tc>
        <w:tc>
          <w:tcPr>
            <w:tcW w:w="1360" w:type="dxa"/>
            <w:vAlign w:val="bottom"/>
          </w:tcPr>
          <w:p>
            <w:pPr>
              <w:spacing w:after="0"/>
              <w:rPr>
                <w:sz w:val="20"/>
                <w:szCs w:val="20"/>
                <w:color w:val="auto"/>
              </w:rPr>
            </w:pPr>
          </w:p>
        </w:tc>
      </w:tr>
    </w:tbl>
    <w:p>
      <w:pPr>
        <w:spacing w:after="0" w:line="3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Since the discovery of the MOVEit Vulnerability that was disclosed on June 5, 2023, we have incurred expenses and will incur future costs related to the MOVEit Vulnerability. Such costs and expenses are net of received insurance recoveries. Please refer to Note 12, </w:t>
      </w:r>
      <w:r>
        <w:rPr>
          <w:rFonts w:ascii="Times New Roman" w:cs="Times New Roman" w:eastAsia="Times New Roman" w:hAnsi="Times New Roman"/>
          <w:sz w:val="18"/>
          <w:szCs w:val="18"/>
          <w:i w:val="1"/>
          <w:iCs w:val="1"/>
          <w:color w:val="auto"/>
        </w:rPr>
        <w:t>Cyber Related Matters</w:t>
      </w:r>
      <w:r>
        <w:rPr>
          <w:rFonts w:ascii="Times New Roman" w:cs="Times New Roman" w:eastAsia="Times New Roman" w:hAnsi="Times New Roman"/>
          <w:sz w:val="18"/>
          <w:szCs w:val="18"/>
          <w:color w:val="auto"/>
        </w:rPr>
        <w:t xml:space="preserve"> for additional details, and updates regarding the MOVEit Vulnerability.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2"/>
                <w:szCs w:val="22"/>
                <w:color w:val="auto"/>
              </w:rPr>
            </w:pPr>
          </w:p>
        </w:tc>
      </w:tr>
      <w:tr>
        <w:trPr>
          <w:trHeight w:val="169"/>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May 31, 2025</w:t>
            </w:r>
          </w:p>
        </w:tc>
        <w:tc>
          <w:tcPr>
            <w:tcW w:w="14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8"/>
              </w:rPr>
              <w:t>Change</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8,072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3"/>
          </w:tcPr>
          <w:p>
            <w:pPr>
              <w:ind w:left="760"/>
              <w:spacing w:after="0"/>
              <w:rPr>
                <w:sz w:val="20"/>
                <w:szCs w:val="20"/>
                <w:color w:val="auto"/>
              </w:rPr>
            </w:pPr>
            <w:r>
              <w:rPr>
                <w:rFonts w:ascii="Times New Roman" w:cs="Times New Roman" w:eastAsia="Times New Roman" w:hAnsi="Times New Roman"/>
                <w:sz w:val="18"/>
                <w:szCs w:val="18"/>
                <w:i w:val="1"/>
                <w:iCs w:val="1"/>
                <w:color w:val="auto"/>
              </w:rPr>
              <w:t>— %</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2 %</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3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Restructuring expenses recorded in the second quarter and first six months of fiscal year 2026 primarily relate to the headcount reduction action in November 2025, and facility closures in other existing restructuring actions. Restructuring expenses recorded in the second quarter and first six months of fiscal year 2025 primarily relate to headcount reductions and a facility closure in connection with the restructuring action related to the ShareFile acquisition in November 2024. See Note 9,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additional details, including types of expenses incurred and the timing of future expenses and cash payments.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Acquisition-Related Expenses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51"/>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Six Months Ended</w:t>
            </w:r>
          </w:p>
        </w:tc>
        <w:tc>
          <w:tcPr>
            <w:tcW w:w="1360" w:type="dxa"/>
            <w:vAlign w:val="bottom"/>
            <w:tcBorders>
              <w:bottom w:val="single" w:sz="8" w:color="auto"/>
            </w:tcBorders>
          </w:tcPr>
          <w:p>
            <w:pPr>
              <w:spacing w:after="0"/>
              <w:rPr>
                <w:sz w:val="24"/>
                <w:szCs w:val="24"/>
                <w:color w:val="auto"/>
              </w:rPr>
            </w:pPr>
          </w:p>
        </w:tc>
      </w:tr>
      <w:tr>
        <w:trPr>
          <w:trHeight w:val="169"/>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May 31, 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4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8"/>
              </w:rPr>
              <w:t>Change</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2026</w:t>
            </w:r>
          </w:p>
        </w:tc>
        <w:tc>
          <w:tcPr>
            <w:tcW w:w="14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 a percentage of total revenue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i w:val="1"/>
                <w:iCs w:val="1"/>
                <w:color w:val="auto"/>
              </w:rPr>
              <w:t>—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Acquisition-related costs are expensed as incurred and include those costs incurred as a result of business combinations. These costs consist of professional service fees, including third-party legal and valuation-related fees. The decrease in acquisition-related expenses in the second quarter of and first six months fiscal year 2026 are due to the fair value adjustment related to the contingent earn-out to former Nuclia shareholders. See Note 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acquisition-related expenses in the same period of fiscal year 2025 were primarily related to our acquisition of ShareFile.</w:t>
      </w:r>
    </w:p>
    <w:p>
      <w:pPr>
        <w:sectPr>
          <w:pgSz w:w="11900" w:h="16838" w:orient="portrait"/>
          <w:cols w:equalWidth="0" w:num="1">
            <w:col w:w="11240"/>
          </w:cols>
          <w:pgMar w:left="320" w:top="767"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net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loss,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As a percentage of 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0"/>
                <w:szCs w:val="20"/>
                <w:color w:val="auto"/>
              </w:rPr>
            </w:pPr>
          </w:p>
        </w:tc>
      </w:tr>
      <w:tr>
        <w:trPr>
          <w:trHeight w:val="169"/>
        </w:trPr>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Percentage</w:t>
            </w:r>
          </w:p>
        </w:tc>
      </w:tr>
      <w:tr>
        <w:trPr>
          <w:trHeight w:val="243"/>
        </w:trPr>
        <w:tc>
          <w:tcPr>
            <w:tcW w:w="1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May 31, 2025</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Change</w:t>
            </w: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21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(15,911)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(18,138)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(31,157)</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(36,567)</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12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(16,362)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(18,752)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(32,535)</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(37,876)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0"/>
        </w:trPr>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-783590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-483870</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-166370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480"/>
            <w:col w:w="8420"/>
          </w:cols>
          <w:pgMar w:left="320" w:top="767" w:right="339" w:bottom="1440" w:gutter="0" w:footer="0" w:header="0"/>
          <w:type w:val="continuous"/>
        </w:sectPr>
      </w:pPr>
    </w:p>
    <w:p>
      <w:pPr>
        <w:spacing w:after="0" w:line="19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 xml:space="preserve">Total other expense, net, decreased in the second quarter and first six months of fiscal year 2026 due to a lower weighted average balance and interest rate on our revolving line of credit as compared to the same periods last year. These decreases in interest expense were partially offset by the redemption of our 2026 Notes in April, which was funded by drawing on our revolving line of credit that carries a higher interest rate than the Notes. Refer to Note 5,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for further discussion. Foreign currency loss decreased year-over-year due to rate volatility and timing of intercompany and hedge settlement activities.</w:t>
      </w:r>
    </w:p>
    <w:p>
      <w:pPr>
        <w:sectPr>
          <w:pgSz w:w="11900" w:h="16838" w:orient="portrait"/>
          <w:cols w:equalWidth="0" w:num="1">
            <w:col w:w="11240"/>
          </w:cols>
          <w:pgMar w:left="320" w:top="767" w:right="33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34"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As a percentage of income before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1340" w:type="dxa"/>
            <w:vAlign w:val="bottom"/>
            <w:tcBorders>
              <w:bottom w:val="single" w:sz="8" w:color="auto"/>
            </w:tcBorders>
          </w:tcPr>
          <w:p>
            <w:pPr>
              <w:spacing w:after="0"/>
              <w:rPr>
                <w:sz w:val="20"/>
                <w:szCs w:val="20"/>
                <w:color w:val="auto"/>
              </w:rPr>
            </w:pPr>
          </w:p>
        </w:tc>
      </w:tr>
      <w:tr>
        <w:trPr>
          <w:trHeight w:val="169"/>
        </w:trPr>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Percentage</w:t>
            </w:r>
          </w:p>
        </w:tc>
      </w:tr>
      <w:tr>
        <w:trPr>
          <w:trHeight w:val="243"/>
        </w:trPr>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May 31, 2025</w:t>
            </w:r>
          </w:p>
        </w:tc>
        <w:tc>
          <w:tcPr>
            <w:tcW w:w="142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rPr>
              <w:t>Change</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May 31, 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31, 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r>
      <w:tr>
        <w:trPr>
          <w:trHeight w:val="22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414"/>
        </w:trPr>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16 %</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-419735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440"/>
            <w:col w:w="8380"/>
          </w:cols>
          <w:pgMar w:left="320" w:top="767" w:right="339" w:bottom="1440" w:gutter="0" w:footer="0" w:header="0"/>
          <w:type w:val="continuous"/>
        </w:sectPr>
      </w:pP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effective tax rate was 27% and 14% in the second fiscal quarters of 2026 and 2025, respectively. The increase in the effective rate is primarily due to changes in the jurisdictional mix of earnings, including the proportion of U.S. versus non-U.S. income, and discrete tax expense of $0.8 million in the second fiscal quarter of 2026 compared to a discrete tax benefit of $1.1 million in the second fiscal quarter of 2025.</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introducing significant changes to the U.S. federal income tax system. The legislation contains key modifications to the provisions of the 2017 Tax Cuts and Jobs Act and has multiple effective dates. In our fiscal 2026, provisions under OBBBA allow for an immediate deduction of U.S. Research &amp; Experimental expenditures and a return to interest expense limitations based on EBITDA, which results in a reduction to the current taxes payable.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 Performance Metrics: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evaluates our financial performance using a number of financial and operating metrics. These metrics are periodically reviewed and revised to reflect changes in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 ("ARR")</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w:t>
      </w:r>
    </w:p>
    <w:p>
      <w:pPr>
        <w:spacing w:after="0" w:line="21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spacing w:after="0" w:line="21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SaaS-based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 The calculation is done at constant currency using the current year budgeted exchange rates for all periods presented.</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ARR was $868 million and $850 million as of May 31, 2026 and 2025, respectively, which is an increase of 2% year-over-year.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 Rate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net retention rates have generally ranged between 99% and 100% for all periods presented. We believe net retention rates can be a helpful indicator of the durability of top line performance.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7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94,807</w:t>
            </w:r>
          </w:p>
        </w:tc>
      </w:tr>
    </w:tbl>
    <w:p>
      <w:pPr>
        <w:spacing w:after="0" w:line="3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increase in cash and cash equivalents of $8.2 million from the end of fiscal year 2025 was due to cash inflows from operations of $177.5 million. The cash inflows described above were offset by cash outflows of $110.0 million to pay down the revolving line of credit, repurchases of common stock of $55.1 million, and purchases of property and equipment of $4.6 million. Except as described below, there are no limitations on our ability to access our cash and cash equivalents.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May 31, 2026, $70.0 million of our cash and cash equivalents was held by our foreign subsidiaries. The Company has determined that a substantial portion of unremitted foreign earnings are no longer indefinitely reinvested. As a result of this, we plan to utilize worldwide cash based on the needs of the parent entity. These amounts will be repatriated as needed. Deferred taxes are recorded for earnings of our foreign operations that we determine are not indefinitely reinvested.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31, 2026</w:t>
            </w:r>
          </w:p>
        </w:tc>
        <w:tc>
          <w:tcPr>
            <w:tcW w:w="280" w:type="dxa"/>
            <w:vAlign w:val="bottom"/>
          </w:tcPr>
          <w:p>
            <w:pPr>
              <w:spacing w:after="0"/>
              <w:rPr>
                <w:sz w:val="19"/>
                <w:szCs w:val="19"/>
                <w:color w:val="auto"/>
              </w:rPr>
            </w:pP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May 31, 2025</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98,943</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(118,103)</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25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increase in cash generated from operations in the first six months of fiscal year 2026, as compared to the same period last year, was primarily attributable to higher collections, increased income from operations, and lower interest expense.</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gross accounts receivable as of May 31, 2026, decreased by $72.0 million from the end of fiscal year 2025. Our days sales outstanding ("DSO") in accounts receivable was 49 days in the second quarter of fiscal year 2026 compared to 53 days and 73 days in the second and fourth fiscal quarters of 2025, respectively, due to the timing of billings and collections.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outflows and inflows of our net investment activity are generally a result of capital expenditures as well as the timing of acquisitions. In the first six months of fiscal year 2026, we purchased $4.6 million of property and equipment. In the second quarter of fiscal year 2025 we had $1.8 million of purchases of property and equipment and a payment of $1.2 million related to the acquisition of ShareFile.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repurchased $55.1 million of our common stock under our share repurchase plan in the first six months of fiscal year 2026 as compared to $50.1 million in the same period of the prior year. Further, we received proceeds from our revolving line of credit of $360.0 million which we used to repurchase our convertible senior note for $360.0 million, and additionally we made payments on our revolving line of credit of $110.0 million through the second quarter of fiscal year 2026 as compared to $70.0 million in the same period of fiscal year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our Board of Directors increased the share repurchase authorization by $200.0 million to an aggregate authorization of</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$242.2 million. During the three and six months ended May 31, 2026, we repurchased and retired 1.2 million shares for $34.7 million and 1.7 million shares for $54.7 million, respectively. During the three and six months ended May 31, 2025, we repurchased and retired 0.4 million shares for $20.0 million and 0.9 million shares for $50.0 million, respectively. The shares were repurchased in both periods as part of the share repurchase program as authorized by our Board of Directors. As of May 31, 2026, there was $147.5 million remaining under the current authorization.</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to the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and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from operations in fiscal year 2026 could be affected by various risks and uncertainties, including, but not limited to, the effects of various risks detailed in Part I, Item 1A. Risk Factors in our 2025 Annual Report, including increased disruption and volatility in capital markets and credit markets that could adversely affect our liquidity and capital resources in the future. However, based on our current business plan, we believe that existing cash balances, together with funds generated from operations and amounts available under our revolving credit facility, will be sufficient to finance our operations and meet our foreseeable cash requirements through at least the next twelve months. Our foreseeable cash needs include capital expenditures, acquisitions, debt repayments, share repurchases, lease commitments, restructuring obligations, and other long-term obligations.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to continue to make payments on the revolving credit facility and are also continuously evaluating additional financing options, the net proceeds of which could be used for general corporate purposes or to repay outstanding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Regulatory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MOVEit Vulnerability</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As a result of the MOVEit Vulnerability, we are party to certain class action lawsuits filed by individuals who claim to have been impacted by the exfiltration of data from the environments of our MOVEit Transfer customers, which have been centralized in the MDL. The MDL has also consolidated an insurance subrogation complaint (where an insurer is seeking recovery for expenses incurred on behalf of its insured in connection with the MOVEit Vulnerability) and, as of the date of this filing, one customer cross-claim. Motions to dismiss were filed and partially granted in July 2025, then further partially granted in January 2026 in response to our motions for reconsideration. In all, the court has dismissed, in whole or in part, 23 of the 33 claims asserted by the bellwether plaintiffs in the MDL. The court has ordered the conclusion of fact discovery by September 29, 2026, and that the filing of class certification briefing will begin on August 28, 2026, and continue into the fourth quarter of 2026. The MDL is not expected to conclude within the next twelve months. As previously disclosed, we have also cooperated with inquiries and investigations from various governmental authorities, a number of which have been formally closed and, as of the date of this filing, have not resulted in any prosecution or enforcement actions.</w:t>
      </w:r>
    </w:p>
    <w:p>
      <w:pPr>
        <w:spacing w:after="0" w:line="21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color w:val="auto"/>
        </w:rPr>
        <w:t>Cyber Related Matters</w:t>
      </w:r>
      <w:r>
        <w:rPr>
          <w:rFonts w:ascii="Times New Roman" w:cs="Times New Roman" w:eastAsia="Times New Roman" w:hAnsi="Times New Roman"/>
          <w:sz w:val="18"/>
          <w:szCs w:val="18"/>
          <w:color w:val="auto"/>
        </w:rPr>
        <w:t xml:space="preserve"> to the condensed consolidated financial statements for additional details and updates regarding the MOVEit Vulnerability.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condensed consolidated financial statements for further discussion.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year 2026, with the exception of repayments on our revolving credit facility, there were no significant changes to our quantitative and qualitative disclosures about market risk. Please refer to Part II, Item 7A. Quantitative and Qualitative Disclosures about Market Risk included in our 2025 Annual Report, for a more complete discussion of the market risks we encounter.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21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officers, evaluated the effectiveness of the design and operation of our disclosure controls and procedures as of the end of the period covered by this report. Based on this evaluation, we concluded that our disclosure controls and procedures were effective at the reasonable assurance level as of May 31,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May 31, 2026 that have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color w:val="auto"/>
        </w:rPr>
        <w:t>Cyber Related Matters</w:t>
      </w:r>
      <w:r>
        <w:rPr>
          <w:rFonts w:ascii="Times New Roman" w:cs="Times New Roman" w:eastAsia="Times New Roman" w:hAnsi="Times New Roman"/>
          <w:sz w:val="18"/>
          <w:szCs w:val="18"/>
          <w:color w:val="auto"/>
        </w:rPr>
        <w:t xml:space="preserve"> to the condensed consolidated financial statements for a discussion of legal proceedings related to the MOVEit Vulnerability. Our 2025 Annual Report and previous SEC filings also contain additional information, including risk factors, related to the MOVEit Vulnerability.</w:t>
      </w:r>
    </w:p>
    <w:p>
      <w:pPr>
        <w:spacing w:after="0" w:line="20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also subject to various other legal proceedings and claims, either asserted or unasserted, which arise in the ordinary course of business. While the outcome of these claims cannot be predicted with certainty, management does not believe that the outcome of any of these legal matters will have a material effect on our financial position,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certain risks and uncertainties, some of which are beyond our control. In addition to the information provided in this report, please refer to Part I, Item 1A. Risk Factors in our 2025 Annual Report for a more complete discussion regarding certain factors that could materially affect our business, financial condition, or future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Stock Repurchases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repurchases of our common stock by month in the second quarter of fiscal year 2026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and share data)</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980" w:type="dxa"/>
            <w:vAlign w:val="bottom"/>
            <w:gridSpan w:val="2"/>
          </w:tcPr>
          <w:p>
            <w:pPr>
              <w:ind w:left="40"/>
              <w:spacing w:after="0" w:line="186" w:lineRule="exact"/>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20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Purchased as Part of</w:t>
            </w:r>
          </w:p>
        </w:tc>
        <w:tc>
          <w:tcPr>
            <w:tcW w:w="198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of Shares that May Yet be</w:t>
            </w:r>
          </w:p>
        </w:tc>
        <w:tc>
          <w:tcPr>
            <w:tcW w:w="0" w:type="dxa"/>
            <w:vAlign w:val="bottom"/>
          </w:tcPr>
          <w:p>
            <w:pPr>
              <w:spacing w:after="0"/>
              <w:rPr>
                <w:sz w:val="1"/>
                <w:szCs w:val="1"/>
                <w:color w:val="auto"/>
              </w:rPr>
            </w:pPr>
          </w:p>
        </w:tc>
      </w:tr>
      <w:tr>
        <w:trPr>
          <w:trHeight w:val="180"/>
        </w:trPr>
        <w:tc>
          <w:tcPr>
            <w:tcW w:w="378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rPr>
              <w:t>Period</w:t>
            </w: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Publicly Announced Plans</w:t>
            </w: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Purchased Under the Plans</w:t>
            </w:r>
          </w:p>
        </w:tc>
        <w:tc>
          <w:tcPr>
            <w:tcW w:w="0" w:type="dxa"/>
            <w:vAlign w:val="bottom"/>
          </w:tcPr>
          <w:p>
            <w:pPr>
              <w:spacing w:after="0"/>
              <w:rPr>
                <w:sz w:val="1"/>
                <w:szCs w:val="1"/>
                <w:color w:val="auto"/>
              </w:rPr>
            </w:pPr>
          </w:p>
        </w:tc>
      </w:tr>
      <w:tr>
        <w:trPr>
          <w:trHeight w:val="230"/>
        </w:trPr>
        <w:tc>
          <w:tcPr>
            <w:tcW w:w="3780" w:type="dxa"/>
            <w:vAlign w:val="bottom"/>
            <w:gridSpan w:val="2"/>
            <w:vMerge w:val="continue"/>
          </w:tcPr>
          <w:p>
            <w:pPr>
              <w:spacing w:after="0"/>
              <w:rPr>
                <w:sz w:val="19"/>
                <w:szCs w:val="19"/>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or Programs</w:t>
            </w:r>
          </w:p>
        </w:tc>
        <w:tc>
          <w:tcPr>
            <w:tcW w:w="340" w:type="dxa"/>
            <w:vAlign w:val="bottom"/>
          </w:tcPr>
          <w:p>
            <w:pPr>
              <w:spacing w:after="0"/>
              <w:rPr>
                <w:sz w:val="19"/>
                <w:szCs w:val="19"/>
                <w:color w:val="auto"/>
              </w:rPr>
            </w:pP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or Programs</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182,220</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161,754</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147,529</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1,225,254</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147,529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23, 2025, our Board of Directors increased the share repurchase authorization by $200.0 million to an aggregate authorization of</w:t>
      </w:r>
    </w:p>
    <w:p>
      <w:pPr>
        <w:spacing w:after="0" w:line="27"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$242.2 million. The timing and amount of any shares repurchased will be determined by management based on its evaluation of market conditions and other factors, and the Board of Directors may choose to suspend, expand, or discontinue the repurchase program at any time. As of May 31, 2026, there was $147.5 million remaining under the current authorization.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Insider Adoption or Termination of Trading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year 2026, none of our directors or officers informed us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765" w:right="9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p>
      <w:pPr>
        <w:spacing w:after="0" w:line="329"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1860" w:type="dxa"/>
            <w:vAlign w:val="bottom"/>
            <w:vMerge w:val="restart"/>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0" w:type="dxa"/>
            <w:vAlign w:val="bottom"/>
          </w:tcPr>
          <w:p>
            <w:pPr>
              <w:spacing w:after="0"/>
              <w:rPr>
                <w:sz w:val="20"/>
                <w:szCs w:val="20"/>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6"/>
        </w:trPr>
        <w:tc>
          <w:tcPr>
            <w:tcW w:w="1860" w:type="dxa"/>
            <w:vAlign w:val="bottom"/>
            <w:vMerge w:val="continue"/>
          </w:tcPr>
          <w:p>
            <w:pPr>
              <w:spacing w:after="0"/>
              <w:rPr>
                <w:sz w:val="13"/>
                <w:szCs w:val="13"/>
                <w:color w:val="auto"/>
              </w:rPr>
            </w:pPr>
          </w:p>
        </w:tc>
        <w:tc>
          <w:tcPr>
            <w:tcW w:w="500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86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00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tbl>
      <w:tblPr>
        <w:tblLayout w:type="fixed"/>
        <w:tblInd w:w="0" w:type="dxa"/>
        <w:tblCellMar>
          <w:top w:w="0" w:type="dxa"/>
          <w:left w:w="0" w:type="dxa"/>
          <w:bottom w:w="0" w:type="dxa"/>
          <w:right w:w="0" w:type="dxa"/>
        </w:tblCellMar>
      </w:tblPr>
      <w:tr>
        <w:trPr>
          <w:trHeight w:val="183"/>
        </w:trPr>
        <w:tc>
          <w:tcPr>
            <w:tcW w:w="9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00" w:type="dxa"/>
            <w:vAlign w:val="bottom"/>
            <w:tcBorders>
              <w:top w:val="single" w:sz="8" w:color="auto"/>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Progress Software Corporation 1991 Employee Stock Purchase Plan, as amended</w:t>
            </w: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and restated</w:t>
            </w:r>
          </w:p>
        </w:tc>
        <w:tc>
          <w:tcPr>
            <w:tcW w:w="4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Progress Software Corporation 2008 Stock Option and Incentive Plan, as</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 and restated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Sarbanes-Oxley Act – Yogesh K. Gupta</w:t>
            </w:r>
          </w:p>
        </w:tc>
        <w:tc>
          <w:tcPr>
            <w:tcW w:w="2480" w:type="dxa"/>
            <w:vAlign w:val="bottom"/>
            <w:tcBorders>
              <w:top w:val="single" w:sz="8" w:color="0000FF"/>
            </w:tcBorders>
            <w:gridSpan w:val="4"/>
          </w:tcPr>
          <w:p>
            <w:pPr>
              <w:spacing w:after="0"/>
              <w:rPr>
                <w:sz w:val="13"/>
                <w:szCs w:val="13"/>
                <w:color w:val="auto"/>
              </w:rPr>
            </w:pPr>
          </w:p>
        </w:tc>
        <w:tc>
          <w:tcPr>
            <w:tcW w:w="540" w:type="dxa"/>
            <w:vAlign w:val="bottom"/>
            <w:gridSpan w:val="2"/>
          </w:tcPr>
          <w:p>
            <w:pPr>
              <w:spacing w:after="0"/>
              <w:rPr>
                <w:sz w:val="13"/>
                <w:szCs w:val="13"/>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w:t>
            </w: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 Anthony Folger</w:t>
            </w:r>
          </w:p>
        </w:tc>
        <w:tc>
          <w:tcPr>
            <w:tcW w:w="58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w:t>
            </w:r>
          </w:p>
        </w:tc>
        <w:tc>
          <w:tcPr>
            <w:tcW w:w="1260" w:type="dxa"/>
            <w:vAlign w:val="bottom"/>
            <w:gridSpan w:val="5"/>
          </w:tcPr>
          <w:p>
            <w:pPr>
              <w:spacing w:after="0"/>
              <w:rPr>
                <w:sz w:val="19"/>
                <w:szCs w:val="19"/>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The following materials from Progress Software Corporation's Quarterly Report</w:t>
            </w:r>
          </w:p>
        </w:tc>
      </w:tr>
      <w:tr>
        <w:trPr>
          <w:trHeight w:val="204"/>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auto"/>
              </w:rPr>
              <w:t>on Form 10-Q for the three and six months ended May 31, 2026, formatted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265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020" w:right="3220"/>
        <w:spacing w:after="0" w:line="220" w:lineRule="auto"/>
        <w:rPr>
          <w:sz w:val="20"/>
          <w:szCs w:val="20"/>
          <w:color w:val="auto"/>
        </w:rPr>
      </w:pPr>
      <w:r>
        <w:rPr>
          <w:rFonts w:ascii="Times New Roman" w:cs="Times New Roman" w:eastAsia="Times New Roman" w:hAnsi="Times New Roman"/>
          <w:sz w:val="17"/>
          <w:szCs w:val="17"/>
          <w:color w:val="auto"/>
        </w:rPr>
        <w:t>iXBRL (Inline eXtensible Business Reporting Language): (i) Condensed Consolidated Balance Sheets as of May 31, 2026 and November 30, 2025; (ii) Condensed Consolidated Statements of Operations for the three and six months</w:t>
      </w:r>
    </w:p>
    <w:p>
      <w:pPr>
        <w:spacing w:after="0" w:line="2" w:lineRule="exact"/>
        <w:rPr>
          <w:sz w:val="20"/>
          <w:szCs w:val="20"/>
          <w:color w:val="auto"/>
        </w:rPr>
      </w:pPr>
    </w:p>
    <w:p>
      <w:pPr>
        <w:ind w:left="1020" w:right="3300"/>
        <w:spacing w:after="0" w:line="220" w:lineRule="auto"/>
        <w:rPr>
          <w:sz w:val="20"/>
          <w:szCs w:val="20"/>
          <w:color w:val="auto"/>
        </w:rPr>
      </w:pPr>
      <w:r>
        <w:rPr>
          <w:rFonts w:ascii="Times New Roman" w:cs="Times New Roman" w:eastAsia="Times New Roman" w:hAnsi="Times New Roman"/>
          <w:sz w:val="17"/>
          <w:szCs w:val="17"/>
          <w:color w:val="auto"/>
        </w:rPr>
        <w:t>ended May 31, 2026 and 2025; (iii) Condensed Consolidated Statements of Comprehensive Income for the three and six months ended May 31, 2026 and 2025; (iv) Condensed Consolidated Statements of Stockholders' Equity for the</w:t>
      </w:r>
    </w:p>
    <w:p>
      <w:pPr>
        <w:spacing w:after="0" w:line="2" w:lineRule="exact"/>
        <w:rPr>
          <w:sz w:val="20"/>
          <w:szCs w:val="20"/>
          <w:color w:val="auto"/>
        </w:rPr>
      </w:pPr>
    </w:p>
    <w:p>
      <w:pPr>
        <w:jc w:val="both"/>
        <w:ind w:left="1020" w:right="3060"/>
        <w:spacing w:after="0" w:line="218" w:lineRule="auto"/>
        <w:rPr>
          <w:sz w:val="20"/>
          <w:szCs w:val="20"/>
          <w:color w:val="auto"/>
        </w:rPr>
      </w:pPr>
      <w:r>
        <w:rPr>
          <w:rFonts w:ascii="Times New Roman" w:cs="Times New Roman" w:eastAsia="Times New Roman" w:hAnsi="Times New Roman"/>
          <w:sz w:val="18"/>
          <w:szCs w:val="18"/>
          <w:color w:val="auto"/>
        </w:rPr>
        <w:t>three and six months ended May 31, 2026 and 2025; (v) Condensed Consolidated Statements of Cash Flows for the six months ended May 31, 2026 and 2025; and (vi) Notes to Condensed Consolidated Financial Statements.</w:t>
      </w:r>
    </w:p>
    <w:p>
      <w:pPr>
        <w:spacing w:after="0" w:line="10" w:lineRule="exact"/>
        <w:rPr>
          <w:sz w:val="20"/>
          <w:szCs w:val="20"/>
          <w:color w:val="auto"/>
        </w:rPr>
      </w:pPr>
    </w:p>
    <w:p>
      <w:pPr>
        <w:ind w:left="1020" w:right="3360" w:hanging="688"/>
        <w:spacing w:after="0" w:line="23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922" w:lineRule="exact"/>
        <w:rPr>
          <w:sz w:val="20"/>
          <w:szCs w:val="20"/>
          <w:color w:val="auto"/>
        </w:rPr>
      </w:pPr>
    </w:p>
    <w:p>
      <w:pPr>
        <w:sectPr>
          <w:pgSz w:w="11900" w:h="16838" w:orient="portrait"/>
          <w:cols w:equalWidth="0" w:num="2">
            <w:col w:w="9960" w:space="720"/>
            <w:col w:w="420"/>
          </w:cols>
          <w:pgMar w:left="320" w:top="765" w:right="479" w:bottom="1440" w:gutter="0" w:footer="0" w:header="0"/>
          <w:type w:val="continuous"/>
        </w:sectPr>
      </w:pP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42" w:lineRule="exact"/>
        <w:rPr>
          <w:sz w:val="20"/>
          <w:szCs w:val="20"/>
          <w:color w:val="auto"/>
        </w:rPr>
      </w:pPr>
    </w:p>
    <w:p>
      <w:pPr>
        <w:ind w:left="500" w:right="3560" w:hanging="181"/>
        <w:spacing w:after="0" w:line="241"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in which an executive officer or director of Progress Software Corporation participates.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type w:val="continuous"/>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64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color w:val="auto"/>
                <w:w w:val="98"/>
              </w:rPr>
              <w:t>PROGRESS SOFTWARE CORPORATION</w:t>
            </w:r>
          </w:p>
        </w:tc>
      </w:tr>
      <w:tr>
        <w:trPr>
          <w:trHeight w:val="237"/>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3440" w:type="dxa"/>
            <w:vAlign w:val="bottom"/>
          </w:tcPr>
          <w:p>
            <w:pPr>
              <w:spacing w:after="0"/>
              <w:rPr>
                <w:sz w:val="20"/>
                <w:szCs w:val="20"/>
                <w:color w:val="auto"/>
              </w:rPr>
            </w:pP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2026</w:t>
            </w:r>
          </w:p>
        </w:tc>
        <w:tc>
          <w:tcPr>
            <w:tcW w:w="1540" w:type="dxa"/>
            <w:vAlign w:val="bottom"/>
          </w:tcPr>
          <w:p>
            <w:pPr>
              <w:spacing w:after="0"/>
              <w:rPr>
                <w:sz w:val="24"/>
                <w:szCs w:val="24"/>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YOGESH K. GUPTA</w:t>
            </w:r>
          </w:p>
        </w:tc>
      </w:tr>
      <w:tr>
        <w:trPr>
          <w:trHeight w:val="218"/>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Yogesh K. Gupta</w:t>
            </w:r>
          </w:p>
        </w:tc>
      </w:tr>
      <w:tr>
        <w:trPr>
          <w:trHeight w:val="230"/>
        </w:trPr>
        <w:tc>
          <w:tcPr>
            <w:tcW w:w="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2026</w:t>
            </w:r>
          </w:p>
        </w:tc>
        <w:tc>
          <w:tcPr>
            <w:tcW w:w="1540" w:type="dxa"/>
            <w:vAlign w:val="bottom"/>
          </w:tcPr>
          <w:p>
            <w:pPr>
              <w:spacing w:after="0"/>
              <w:rPr>
                <w:sz w:val="24"/>
                <w:szCs w:val="24"/>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ANTHONY FOLGER</w:t>
            </w:r>
          </w:p>
        </w:tc>
      </w:tr>
      <w:tr>
        <w:trPr>
          <w:trHeight w:val="218"/>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Folger</w:t>
            </w:r>
          </w:p>
        </w:tc>
      </w:tr>
      <w:tr>
        <w:trPr>
          <w:trHeight w:val="229"/>
        </w:trPr>
        <w:tc>
          <w:tcPr>
            <w:tcW w:w="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2026</w:t>
            </w:r>
          </w:p>
        </w:tc>
        <w:tc>
          <w:tcPr>
            <w:tcW w:w="1540" w:type="dxa"/>
            <w:vAlign w:val="bottom"/>
          </w:tcPr>
          <w:p>
            <w:pPr>
              <w:spacing w:after="0"/>
              <w:rPr>
                <w:sz w:val="24"/>
                <w:szCs w:val="24"/>
                <w:color w:val="auto"/>
              </w:rPr>
            </w:pPr>
          </w:p>
        </w:tc>
        <w:tc>
          <w:tcPr>
            <w:tcW w:w="5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DOMENIC LOCOCO</w:t>
            </w:r>
          </w:p>
        </w:tc>
      </w:tr>
      <w:tr>
        <w:trPr>
          <w:trHeight w:val="218"/>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Domenic LoCoco</w:t>
            </w:r>
          </w:p>
        </w:tc>
      </w:tr>
      <w:tr>
        <w:trPr>
          <w:trHeight w:val="229"/>
        </w:trPr>
        <w:tc>
          <w:tcPr>
            <w:tcW w:w="6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42"/>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3440" w:type="dxa"/>
            <w:vAlign w:val="bottom"/>
          </w:tcPr>
          <w:p>
            <w:pPr>
              <w:spacing w:after="0"/>
              <w:rPr>
                <w:sz w:val="24"/>
                <w:szCs w:val="24"/>
                <w:color w:val="auto"/>
              </w:rPr>
            </w:pPr>
          </w:p>
        </w:tc>
      </w:tr>
    </w:tbl>
    <w:p>
      <w:pPr>
        <w:sectPr>
          <w:pgSz w:w="11900" w:h="16838" w:orient="portrait"/>
          <w:cols w:equalWidth="0" w:num="1">
            <w:col w:w="11200"/>
          </w:cols>
          <w:pgMar w:left="320" w:top="765"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PROGRESS SOFTWARE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1991 EMPLOYEE STOCK PURCHASE PLAN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by the Board of Directors: March 24, 2026)</w:t>
      </w:r>
    </w:p>
    <w:p>
      <w:pPr>
        <w:spacing w:after="0" w:line="16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w:t>
      </w:r>
    </w:p>
    <w:p>
      <w:pPr>
        <w:spacing w:after="0" w:line="58" w:lineRule="exact"/>
        <w:rPr>
          <w:sz w:val="20"/>
          <w:szCs w:val="20"/>
          <w:color w:val="auto"/>
        </w:rPr>
      </w:pPr>
    </w:p>
    <w:p>
      <w:pPr>
        <w:ind w:right="60" w:firstLine="583"/>
        <w:spacing w:after="0" w:line="251" w:lineRule="auto"/>
        <w:rPr>
          <w:sz w:val="20"/>
          <w:szCs w:val="20"/>
          <w:color w:val="auto"/>
        </w:rPr>
      </w:pPr>
      <w:r>
        <w:rPr>
          <w:rFonts w:ascii="Times New Roman" w:cs="Times New Roman" w:eastAsia="Times New Roman" w:hAnsi="Times New Roman"/>
          <w:sz w:val="22"/>
          <w:szCs w:val="22"/>
          <w:color w:val="auto"/>
        </w:rPr>
        <w:t>The Progress Software Corporation Employee Stock Purchase Plan (the "Plan") is intended to provide a method whereby employees of Progress Software Corporation (the "Company") will have an opportunity to acquire an ownership interest (or increase an existing ownership interest) in the Company through the purchase of shares of the Common Stock of the Company. It is the intention of the Company that the Plan qualify as an "employee stock purchase plan" under Section 423 of the Internal Revenue Code of 1986, as amended (the "Code"). The provisions of the Plan shall, accordingly, be construed so as to extend and limit participation in a manner consistent with the requirements of that section of the Code.</w:t>
      </w:r>
    </w:p>
    <w:p>
      <w:pPr>
        <w:spacing w:after="0" w:line="7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w:t>
      </w:r>
    </w:p>
    <w:p>
      <w:pPr>
        <w:spacing w:after="0" w:line="57" w:lineRule="exact"/>
        <w:rPr>
          <w:rFonts w:ascii="Times New Roman" w:cs="Times New Roman" w:eastAsia="Times New Roman" w:hAnsi="Times New Roman"/>
          <w:sz w:val="22"/>
          <w:szCs w:val="22"/>
          <w:color w:val="auto"/>
        </w:rPr>
      </w:pPr>
    </w:p>
    <w:p>
      <w:pPr>
        <w:ind w:right="200" w:firstLine="591"/>
        <w:spacing w:after="0" w:line="250" w:lineRule="auto"/>
        <w:tabs>
          <w:tab w:leader="none" w:pos="12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"Eligible Compensation" for purposes of the Plan means: (i) with respect to individuals who are hourly employees, base salary plus payments for overtime and bonuses or (ii) with respect to individuals who are salaried employees, base salary plus sales commissions and bonuses. Eligible Compensation shall not include any deferred compensation other than contributions by an individual through a salary reduction agreement to a cash or deferred plan pursuant to Section 401(k) of the Code or to a cafeteria plan pursuant to Section 125 of the Code.</w:t>
      </w:r>
    </w:p>
    <w:p>
      <w:pPr>
        <w:spacing w:after="0" w:line="2" w:lineRule="exact"/>
        <w:rPr>
          <w:rFonts w:ascii="Times New Roman" w:cs="Times New Roman" w:eastAsia="Times New Roman" w:hAnsi="Times New Roman"/>
          <w:sz w:val="22"/>
          <w:szCs w:val="22"/>
          <w:color w:val="auto"/>
        </w:rPr>
      </w:pPr>
    </w:p>
    <w:p>
      <w:pPr>
        <w:ind w:left="1300" w:hanging="709"/>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means the Board of Directors of the Company.</w:t>
      </w:r>
    </w:p>
    <w:p>
      <w:pPr>
        <w:spacing w:after="0" w:line="5" w:lineRule="exact"/>
        <w:rPr>
          <w:rFonts w:ascii="Times New Roman" w:cs="Times New Roman" w:eastAsia="Times New Roman" w:hAnsi="Times New Roman"/>
          <w:sz w:val="22"/>
          <w:szCs w:val="22"/>
          <w:color w:val="auto"/>
        </w:rPr>
      </w:pPr>
    </w:p>
    <w:p>
      <w:pPr>
        <w:ind w:left="1300" w:hanging="709"/>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"Committee" means the Compensation Committee of the Board.</w:t>
      </w:r>
    </w:p>
    <w:p>
      <w:pPr>
        <w:spacing w:after="0" w:line="15" w:lineRule="exact"/>
        <w:rPr>
          <w:rFonts w:ascii="Times New Roman" w:cs="Times New Roman" w:eastAsia="Times New Roman" w:hAnsi="Times New Roman"/>
          <w:sz w:val="22"/>
          <w:szCs w:val="22"/>
          <w:color w:val="auto"/>
        </w:rPr>
      </w:pPr>
    </w:p>
    <w:p>
      <w:pPr>
        <w:ind w:left="1300" w:hanging="709"/>
        <w:spacing w:after="0"/>
        <w:tabs>
          <w:tab w:leader="none" w:pos="13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means the common stock, $.01 par value per share, of the Company.</w:t>
      </w:r>
    </w:p>
    <w:p>
      <w:pPr>
        <w:spacing w:after="0" w:line="3" w:lineRule="exact"/>
        <w:rPr>
          <w:rFonts w:ascii="Times New Roman" w:cs="Times New Roman" w:eastAsia="Times New Roman" w:hAnsi="Times New Roman"/>
          <w:sz w:val="22"/>
          <w:szCs w:val="22"/>
          <w:color w:val="auto"/>
        </w:rPr>
      </w:pPr>
    </w:p>
    <w:p>
      <w:pPr>
        <w:ind w:right="220" w:firstLine="591"/>
        <w:spacing w:after="0" w:line="243" w:lineRule="auto"/>
        <w:tabs>
          <w:tab w:leader="none" w:pos="12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shall also include any subsidiary of Progress Software Corporation designated as a participant in the Plan by the Board, unless the context otherwise requires.</w:t>
      </w:r>
    </w:p>
    <w:p>
      <w:pPr>
        <w:ind w:right="20" w:firstLine="591"/>
        <w:spacing w:after="0" w:line="249" w:lineRule="auto"/>
        <w:tabs>
          <w:tab w:leader="none" w:pos="128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means any person who is customarily employed at least 20 hours per week and more than five months in a calendar year by (i) the Company or (ii) any subsidiary corporation.</w:t>
      </w:r>
    </w:p>
    <w:p>
      <w:pPr>
        <w:spacing w:after="0" w:line="1" w:lineRule="exact"/>
        <w:rPr>
          <w:rFonts w:ascii="Times New Roman" w:cs="Times New Roman" w:eastAsia="Times New Roman" w:hAnsi="Times New Roman"/>
          <w:sz w:val="22"/>
          <w:szCs w:val="22"/>
          <w:color w:val="auto"/>
        </w:rPr>
      </w:pPr>
    </w:p>
    <w:p>
      <w:pPr>
        <w:ind w:right="180" w:firstLine="591"/>
        <w:spacing w:after="0" w:line="248" w:lineRule="auto"/>
        <w:tabs>
          <w:tab w:leader="none" w:pos="129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Corporation" shall mean any present or future corporation which is or would constitute a "subsidiary corporation" as that term is defined in Section 424(f) of the Code.</w:t>
      </w:r>
    </w:p>
    <w:p>
      <w:pPr>
        <w:spacing w:after="0" w:line="7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ELIGIBILITY</w:t>
      </w:r>
    </w:p>
    <w:p>
      <w:pPr>
        <w:spacing w:after="0" w:line="57" w:lineRule="exact"/>
        <w:rPr>
          <w:rFonts w:ascii="Times New Roman" w:cs="Times New Roman" w:eastAsia="Times New Roman" w:hAnsi="Times New Roman"/>
          <w:sz w:val="22"/>
          <w:szCs w:val="22"/>
          <w:color w:val="auto"/>
        </w:rPr>
      </w:pPr>
    </w:p>
    <w:p>
      <w:pPr>
        <w:ind w:right="140" w:firstLine="591"/>
        <w:spacing w:after="0" w:line="255" w:lineRule="auto"/>
        <w:tabs>
          <w:tab w:leader="none" w:pos="12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Plan is completely voluntary. Participation during any one or more of the Offering Periods, as hereafter defined, under the Plan shall neither limit, nor require, participation during any other Offering Period.</w:t>
      </w:r>
    </w:p>
    <w:p>
      <w:pPr>
        <w:spacing w:after="0" w:line="1" w:lineRule="exact"/>
        <w:rPr>
          <w:rFonts w:ascii="Times New Roman" w:cs="Times New Roman" w:eastAsia="Times New Roman" w:hAnsi="Times New Roman"/>
          <w:sz w:val="22"/>
          <w:szCs w:val="22"/>
          <w:color w:val="auto"/>
        </w:rPr>
      </w:pPr>
    </w:p>
    <w:p>
      <w:pPr>
        <w:ind w:firstLine="591"/>
        <w:spacing w:after="0" w:line="258" w:lineRule="auto"/>
        <w:tabs>
          <w:tab w:leader="none" w:pos="1294"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Employee of the Company and its Subsidiary Corporations shall be eligible to participate in the Plan on any Offering Period commencement date, as hereafter identified, following the completion of three months of continuous service with the Company and/or its Subsidiary Corporations; provided, however, that no Employee shall be granted an option under the Plan:</w:t>
      </w:r>
    </w:p>
    <w:p>
      <w:pPr>
        <w:spacing w:after="0" w:line="2" w:lineRule="exact"/>
        <w:rPr>
          <w:rFonts w:ascii="Times New Roman" w:cs="Times New Roman" w:eastAsia="Times New Roman" w:hAnsi="Times New Roman"/>
          <w:sz w:val="21"/>
          <w:szCs w:val="21"/>
          <w:color w:val="auto"/>
        </w:rPr>
      </w:pPr>
    </w:p>
    <w:p>
      <w:pPr>
        <w:ind w:left="660" w:firstLine="579"/>
        <w:spacing w:after="0" w:line="246" w:lineRule="auto"/>
        <w:tabs>
          <w:tab w:leader="none" w:pos="1946"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immediately after the grant, such Employee would own stock, and/or hold outstanding options to purchase stock, possessing 5% or more of the total combined voting power or value of all classes of stock of the Company or any Subsidiary Corporation; for purposes of this Paragraph the rules of Section 424(d) of the Code shall apply in determining stock ownership of any employee; or</w:t>
      </w:r>
    </w:p>
    <w:p>
      <w:pPr>
        <w:spacing w:after="0" w:line="2" w:lineRule="exact"/>
        <w:rPr>
          <w:rFonts w:ascii="Times New Roman" w:cs="Times New Roman" w:eastAsia="Times New Roman" w:hAnsi="Times New Roman"/>
          <w:sz w:val="22"/>
          <w:szCs w:val="22"/>
          <w:color w:val="auto"/>
        </w:rPr>
      </w:pPr>
    </w:p>
    <w:p>
      <w:pPr>
        <w:ind w:left="660" w:right="140" w:firstLine="579"/>
        <w:spacing w:after="0" w:line="249" w:lineRule="auto"/>
        <w:tabs>
          <w:tab w:leader="none" w:pos="1952"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permits his/her rights to purchase stock under all Section 423 employee stock purchase plans of the Company and its Subsidiary Corporations to exceed US $25,000 of the fair market value of the stock (determined at the time such option is granted) for each calendar year in which such option is outstanding; for purposes of this Paragraph, the rules of Section 423 (b)(8) of the Code shall apply.</w:t>
      </w:r>
    </w:p>
    <w:p>
      <w:pPr>
        <w:spacing w:after="0" w:line="7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 PERIOD / EXERCISE PERIOD</w:t>
      </w:r>
    </w:p>
    <w:p>
      <w:pPr>
        <w:spacing w:after="0" w:line="58" w:lineRule="exact"/>
        <w:rPr>
          <w:sz w:val="20"/>
          <w:szCs w:val="20"/>
          <w:color w:val="auto"/>
        </w:rPr>
      </w:pPr>
    </w:p>
    <w:p>
      <w:pPr>
        <w:ind w:right="680" w:firstLine="571"/>
        <w:spacing w:after="0" w:line="268" w:lineRule="auto"/>
        <w:rPr>
          <w:sz w:val="20"/>
          <w:szCs w:val="20"/>
          <w:color w:val="auto"/>
        </w:rPr>
      </w:pPr>
      <w:r>
        <w:rPr>
          <w:rFonts w:ascii="Times New Roman" w:cs="Times New Roman" w:eastAsia="Times New Roman" w:hAnsi="Times New Roman"/>
          <w:sz w:val="22"/>
          <w:szCs w:val="22"/>
          <w:color w:val="auto"/>
        </w:rPr>
        <w:t>The right to purchase stock hereunder shall be made available by a series of "Exercise Periods" during an "Offering Period" to employees eligible in accordance with Paragraph 3 hereof.</w:t>
      </w:r>
    </w:p>
    <w:p>
      <w:pPr>
        <w:spacing w:after="0" w:line="2" w:lineRule="exact"/>
        <w:rPr>
          <w:sz w:val="20"/>
          <w:szCs w:val="20"/>
          <w:color w:val="auto"/>
        </w:rPr>
      </w:pPr>
    </w:p>
    <w:p>
      <w:pPr>
        <w:ind w:right="160" w:firstLine="591"/>
        <w:spacing w:after="0" w:line="256" w:lineRule="auto"/>
        <w:tabs>
          <w:tab w:leader="none" w:pos="12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Each participant in the Plan will be enrolled in an Offering Period. An Offering Period has a duration of 27 consecutive months unless a participant: withdraws from the Plan, ceases to be an eligible employee or is automatically transferred to a new Offering Period. Offering Periods commence on each of the following dates: January 1, April 1, July 1, or October 1.</w:t>
      </w:r>
    </w:p>
    <w:p>
      <w:pPr>
        <w:spacing w:after="0" w:line="14" w:lineRule="exact"/>
        <w:rPr>
          <w:sz w:val="20"/>
          <w:szCs w:val="20"/>
          <w:color w:val="auto"/>
        </w:rPr>
      </w:pPr>
    </w:p>
    <w:p>
      <w:pPr>
        <w:ind w:right="100" w:firstLine="583"/>
        <w:spacing w:after="0" w:line="248" w:lineRule="auto"/>
        <w:rPr>
          <w:sz w:val="20"/>
          <w:szCs w:val="20"/>
          <w:color w:val="auto"/>
        </w:rPr>
      </w:pPr>
      <w:r>
        <w:rPr>
          <w:rFonts w:ascii="Times New Roman" w:cs="Times New Roman" w:eastAsia="Times New Roman" w:hAnsi="Times New Roman"/>
          <w:sz w:val="22"/>
          <w:szCs w:val="22"/>
          <w:color w:val="auto"/>
        </w:rPr>
        <w:t>Notwithstanding the foregoing, no Offering Period shall commence if at any time it is determined that the Company is not then lawfully permitted to offer, issue and sell shares of Common Stock in accordance with the terms of this Plan pursuant to an effective registration statement under the Securities Act of 1933, as amended. If an Offering Period cannot commence upon any date for the reason set forth above, an Offering Period may commence upon a date other than January 1, April 1, July 1 or October 1, and such Offering Period may be for a duration of less than 27 months. Any determination as to whether an Offering Period shall so commence on another date, and the duration of such Offering Period, shall be in the sole discretion of the Committee.</w:t>
      </w:r>
    </w:p>
    <w:p>
      <w:pPr>
        <w:spacing w:after="0" w:line="3" w:lineRule="exact"/>
        <w:rPr>
          <w:sz w:val="20"/>
          <w:szCs w:val="20"/>
          <w:color w:val="auto"/>
        </w:rPr>
      </w:pPr>
    </w:p>
    <w:p>
      <w:pPr>
        <w:ind w:right="640" w:firstLine="591"/>
        <w:spacing w:after="0" w:line="261" w:lineRule="auto"/>
        <w:tabs>
          <w:tab w:leader="none" w:pos="129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 Each 27-month Offering Period consists of nine consecutive Exercise Periods lasting three months each. Exercise Periods start on January 1, April 1, July 1, and October 1.</w:t>
      </w:r>
    </w:p>
    <w:p>
      <w:pPr>
        <w:spacing w:after="0" w:line="6" w:lineRule="exact"/>
        <w:rPr>
          <w:rFonts w:ascii="Times New Roman" w:cs="Times New Roman" w:eastAsia="Times New Roman" w:hAnsi="Times New Roman"/>
          <w:sz w:val="22"/>
          <w:szCs w:val="22"/>
          <w:color w:val="auto"/>
        </w:rPr>
      </w:pPr>
    </w:p>
    <w:p>
      <w:pPr>
        <w:ind w:right="100" w:firstLine="591"/>
        <w:spacing w:after="0" w:line="295" w:lineRule="auto"/>
        <w:tabs>
          <w:tab w:leader="none" w:pos="129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 Date</w:t>
      </w:r>
      <w:r>
        <w:rPr>
          <w:rFonts w:ascii="Times New Roman" w:cs="Times New Roman" w:eastAsia="Times New Roman" w:hAnsi="Times New Roman"/>
          <w:sz w:val="21"/>
          <w:szCs w:val="21"/>
          <w:color w:val="auto"/>
        </w:rPr>
        <w:t>. During each 27-month Offering Period there will be nine Exercise Dates. An Exercise Date is the last date of each Exercise Period. Therefore, Exercise Dates will be as follows: March 31, June 30, September 30, and December</w:t>
      </w:r>
    </w:p>
    <w:p>
      <w:pPr>
        <w:sectPr>
          <w:pgSz w:w="11900" w:h="16838" w:orient="portrait"/>
          <w:cols w:equalWidth="0" w:num="1">
            <w:col w:w="11240"/>
          </w:cols>
          <w:pgMar w:left="320" w:top="117"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31.</w:t>
      </w:r>
    </w:p>
    <w:p>
      <w:pPr>
        <w:spacing w:after="0" w:line="58" w:lineRule="exact"/>
        <w:rPr>
          <w:sz w:val="20"/>
          <w:szCs w:val="20"/>
          <w:color w:val="auto"/>
        </w:rPr>
      </w:pPr>
    </w:p>
    <w:p>
      <w:pPr>
        <w:ind w:firstLine="583"/>
        <w:spacing w:after="0" w:line="256" w:lineRule="auto"/>
        <w:rPr>
          <w:sz w:val="20"/>
          <w:szCs w:val="20"/>
          <w:color w:val="auto"/>
        </w:rPr>
      </w:pPr>
      <w:r>
        <w:rPr>
          <w:rFonts w:ascii="Times New Roman" w:cs="Times New Roman" w:eastAsia="Times New Roman" w:hAnsi="Times New Roman"/>
          <w:sz w:val="22"/>
          <w:szCs w:val="22"/>
          <w:color w:val="auto"/>
        </w:rPr>
        <w:t>Notwithstanding the foregoing and subject to Paragraph 22, in the event that, on any Exercise Date provided for herein, it is determined that the Company is not then lawfully permitted to offer, issue and sell shares of Common Stock in accordance with the terms of this Plan pursuant to an effective registration statement under the Securities Act of 1933, as amended, such Exercise Date shall be of no force or effect.</w:t>
      </w:r>
    </w:p>
    <w:p>
      <w:pPr>
        <w:spacing w:after="0" w:line="6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w:t>
      </w:r>
    </w:p>
    <w:p>
      <w:pPr>
        <w:spacing w:after="0" w:line="58" w:lineRule="exact"/>
        <w:rPr>
          <w:sz w:val="20"/>
          <w:szCs w:val="20"/>
          <w:color w:val="auto"/>
        </w:rPr>
      </w:pPr>
    </w:p>
    <w:p>
      <w:pPr>
        <w:ind w:right="300" w:firstLine="583"/>
        <w:spacing w:after="0" w:line="263" w:lineRule="auto"/>
        <w:rPr>
          <w:sz w:val="20"/>
          <w:szCs w:val="20"/>
          <w:color w:val="auto"/>
        </w:rPr>
      </w:pPr>
      <w:r>
        <w:rPr>
          <w:rFonts w:ascii="Times New Roman" w:cs="Times New Roman" w:eastAsia="Times New Roman" w:hAnsi="Times New Roman"/>
          <w:sz w:val="22"/>
          <w:szCs w:val="22"/>
          <w:color w:val="auto"/>
        </w:rPr>
        <w:t>Any eligible employee may become a participant by completing a payroll deduction authorization form provided by the Company and filing it with their payroll department and the Plan administrator 20 days prior to an Offering Period commencement date.</w:t>
      </w:r>
    </w:p>
    <w:p>
      <w:pPr>
        <w:spacing w:after="0" w:line="5" w:lineRule="exact"/>
        <w:rPr>
          <w:sz w:val="20"/>
          <w:szCs w:val="20"/>
          <w:color w:val="auto"/>
        </w:rPr>
      </w:pPr>
    </w:p>
    <w:p>
      <w:pPr>
        <w:ind w:right="260" w:firstLine="583"/>
        <w:spacing w:after="0" w:line="252" w:lineRule="auto"/>
        <w:rPr>
          <w:sz w:val="20"/>
          <w:szCs w:val="20"/>
          <w:color w:val="auto"/>
        </w:rPr>
      </w:pPr>
      <w:r>
        <w:rPr>
          <w:rFonts w:ascii="Times New Roman" w:cs="Times New Roman" w:eastAsia="Times New Roman" w:hAnsi="Times New Roman"/>
          <w:sz w:val="22"/>
          <w:szCs w:val="22"/>
          <w:color w:val="auto"/>
        </w:rPr>
        <w:t>A participant may be enrolled in only one Offering Period at a time. A participant will be re-enrolled automatically as a participant in future Offering Periods when an Offering Period in which such participant is currently enrolled ends, unless such participant withdraws from participation, is terminated or terminates employment, becomes ineligible to participate for any reason, or the Plan terminates.</w:t>
      </w:r>
    </w:p>
    <w:p>
      <w:pPr>
        <w:spacing w:after="0" w:line="7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DEDUCTIONS</w:t>
      </w:r>
    </w:p>
    <w:p>
      <w:pPr>
        <w:spacing w:after="0" w:line="71" w:lineRule="exact"/>
        <w:rPr>
          <w:rFonts w:ascii="Times New Roman" w:cs="Times New Roman" w:eastAsia="Times New Roman" w:hAnsi="Times New Roman"/>
          <w:sz w:val="22"/>
          <w:szCs w:val="22"/>
          <w:color w:val="auto"/>
        </w:rPr>
      </w:pPr>
    </w:p>
    <w:p>
      <w:pPr>
        <w:ind w:right="20" w:firstLine="591"/>
        <w:spacing w:after="0" w:line="252" w:lineRule="auto"/>
        <w:tabs>
          <w:tab w:leader="none" w:pos="129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a participant files his/her authorization for a payroll deduction, he/she shall specify a percentage of his/her Eligible Compensation to be deducted from his/her pay on each payday during any Offering Period in which he/she is a participant in the Plan. Such percentage shall be in increments of one percent (1%) up to a maximum percentage to be established for each Offering Period by the Committee.</w:t>
      </w:r>
    </w:p>
    <w:p>
      <w:pPr>
        <w:spacing w:after="0" w:line="17" w:lineRule="exact"/>
        <w:rPr>
          <w:rFonts w:ascii="Times New Roman" w:cs="Times New Roman" w:eastAsia="Times New Roman" w:hAnsi="Times New Roman"/>
          <w:sz w:val="22"/>
          <w:szCs w:val="22"/>
          <w:color w:val="auto"/>
        </w:rPr>
      </w:pPr>
    </w:p>
    <w:p>
      <w:pPr>
        <w:ind w:right="460" w:firstLine="591"/>
        <w:spacing w:after="0" w:line="275" w:lineRule="auto"/>
        <w:tabs>
          <w:tab w:leader="none" w:pos="129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deductions for participants shall commence on the Offering Period commencement date following the effective date of his/her authorization for such payroll deductions.</w:t>
      </w:r>
    </w:p>
    <w:p>
      <w:pPr>
        <w:jc w:val="both"/>
        <w:ind w:right="200" w:firstLine="591"/>
        <w:spacing w:after="0" w:line="272" w:lineRule="auto"/>
        <w:tabs>
          <w:tab w:leader="none" w:pos="1295"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at any time, reduce the percentage (but not below 1%) of his/her Eligible Compensation to be deducted on each payday that he/she participates in the Plan. A reduction in payroll deductions will be effective on the seventh business day following receipt of notice by the Company and will apply to the first full pay period commencing after such date.</w:t>
      </w:r>
    </w:p>
    <w:p>
      <w:pPr>
        <w:spacing w:after="0" w:line="2" w:lineRule="exact"/>
        <w:rPr>
          <w:rFonts w:ascii="Times New Roman" w:cs="Times New Roman" w:eastAsia="Times New Roman" w:hAnsi="Times New Roman"/>
          <w:sz w:val="21"/>
          <w:szCs w:val="21"/>
          <w:color w:val="auto"/>
        </w:rPr>
      </w:pPr>
    </w:p>
    <w:p>
      <w:pPr>
        <w:ind w:right="60" w:firstLine="591"/>
        <w:spacing w:after="0" w:line="256" w:lineRule="auto"/>
        <w:tabs>
          <w:tab w:leader="none" w:pos="129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at any time, increase the percentage (but not above the maximum established by the Committee) of his/her Eligible Compensation to be deducted on each payday that he/she participates in the Plan. An increase in payroll deductions will be effective on the seventh business day following receipt of notice by the Company and will apply to the first full Exercise Period commencing after such date.</w:t>
      </w:r>
    </w:p>
    <w:p>
      <w:pPr>
        <w:spacing w:after="0" w:line="14" w:lineRule="exact"/>
        <w:rPr>
          <w:rFonts w:ascii="Times New Roman" w:cs="Times New Roman" w:eastAsia="Times New Roman" w:hAnsi="Times New Roman"/>
          <w:sz w:val="22"/>
          <w:szCs w:val="22"/>
          <w:color w:val="auto"/>
        </w:rPr>
      </w:pPr>
    </w:p>
    <w:p>
      <w:pPr>
        <w:ind w:right="20" w:firstLine="591"/>
        <w:spacing w:after="0" w:line="271" w:lineRule="auto"/>
        <w:tabs>
          <w:tab w:leader="none" w:pos="1295"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payroll deductions made for a participant shall be credited to his/her account under the Plan. A participant may not make any separate cash payment into such account.</w:t>
      </w:r>
    </w:p>
    <w:p>
      <w:pPr>
        <w:spacing w:after="0" w:line="3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GRANTING OF OPTION / EXERCISE PRICE</w:t>
      </w:r>
    </w:p>
    <w:p>
      <w:pPr>
        <w:spacing w:after="0" w:line="71" w:lineRule="exact"/>
        <w:rPr>
          <w:rFonts w:ascii="Times New Roman" w:cs="Times New Roman" w:eastAsia="Times New Roman" w:hAnsi="Times New Roman"/>
          <w:sz w:val="22"/>
          <w:szCs w:val="22"/>
          <w:color w:val="auto"/>
        </w:rPr>
      </w:pPr>
    </w:p>
    <w:p>
      <w:pPr>
        <w:ind w:firstLine="591"/>
        <w:spacing w:after="0" w:line="259" w:lineRule="auto"/>
        <w:tabs>
          <w:tab w:leader="none" w:pos="1295"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commencement date of each Offering Period, a participant in such Offering Period shall be deemed to have been granted an option to purchase on each Exercise Date during such Offering Period (at the per share exercise price) up to a number of shares of the Company's Common Stock determined by dividing such participant's payroll deductions accumulated during the applicable Exercise Period by eighty-five (85%) of the market value per share of the Company's Common Stock on the Offering Period commencement date or on the Exercise Date, whichever is lower, provided that the number of shares subject to the option shall not exceed 200% of the number of shares determined by dividing 10% of the participant's Eligible Compensation over the Offering Period (determined as of the Offering Period commencement date) by 85% of the market value per share of the Company's Common Stock on the Offering Period commencement date, subject to the limitations set forth in Section 3 (b) and</w:t>
      </w:r>
    </w:p>
    <w:p>
      <w:pPr>
        <w:spacing w:after="0" w:line="4"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hereof. The Market value per share of the Company's Common Stock shall be determined as provided in Section 7(b) herein.</w:t>
      </w:r>
    </w:p>
    <w:p>
      <w:pPr>
        <w:spacing w:after="0" w:line="45" w:lineRule="exact"/>
        <w:rPr>
          <w:rFonts w:ascii="Times New Roman" w:cs="Times New Roman" w:eastAsia="Times New Roman" w:hAnsi="Times New Roman"/>
          <w:sz w:val="21"/>
          <w:szCs w:val="21"/>
          <w:color w:val="auto"/>
        </w:rPr>
      </w:pPr>
    </w:p>
    <w:p>
      <w:pPr>
        <w:ind w:right="100" w:firstLine="591"/>
        <w:spacing w:after="0" w:line="249" w:lineRule="auto"/>
        <w:tabs>
          <w:tab w:leader="none" w:pos="129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per share to be paid for Common Stock purchased under the Plan shall be equal to the lower of 85% of the market value per share of the Common Stock on the first day of the Offering Period in which the Exercise Date falls, or 85% of the market value per share of the Common Stock on the Exercise Date. Market value per share of the Common Stock on a particular date is the closing price (or closing bid, if no sales were reported) of the Common Stock on the National Association of Securities Dealers Automated Quotation System, Inc. ("NASDAQ"), or, in the event the Common Stock is listed on a stock exchange, the market value per share shall be the closing price on such exchange, for that date, as reported in the Wall Street Journal. If a closing price is not available for a particular date, then the market value per share to be used for that date will be the closing stock price as of the last preceding trading day on the NASDAQ or a stock exchange for which a closing price is available. If the Common Stock is not listed on the NASDAQ or a stock exchange then the market value per share will be determined by the Committee.</w:t>
      </w:r>
    </w:p>
    <w:p>
      <w:pPr>
        <w:spacing w:after="0" w:line="21" w:lineRule="exact"/>
        <w:rPr>
          <w:sz w:val="20"/>
          <w:szCs w:val="20"/>
          <w:color w:val="auto"/>
        </w:rPr>
      </w:pPr>
    </w:p>
    <w:p>
      <w:pPr>
        <w:ind w:right="500" w:firstLine="583"/>
        <w:spacing w:after="0" w:line="263" w:lineRule="auto"/>
        <w:rPr>
          <w:sz w:val="20"/>
          <w:szCs w:val="20"/>
          <w:color w:val="auto"/>
        </w:rPr>
      </w:pPr>
      <w:r>
        <w:rPr>
          <w:rFonts w:ascii="Times New Roman" w:cs="Times New Roman" w:eastAsia="Times New Roman" w:hAnsi="Times New Roman"/>
          <w:sz w:val="22"/>
          <w:szCs w:val="22"/>
          <w:color w:val="auto"/>
        </w:rPr>
        <w:t>For purpose of calculating the number of shares of Common Stock to be purchased with payroll deductions from participants outside of the United States, the Company will use the exchange rate published in the Wall Street Journal on the Exercise Date.</w:t>
      </w:r>
    </w:p>
    <w:p>
      <w:pPr>
        <w:spacing w:after="0" w:line="5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OF OPTION</w:t>
      </w:r>
    </w:p>
    <w:p>
      <w:pPr>
        <w:spacing w:after="0" w:line="58" w:lineRule="exact"/>
        <w:rPr>
          <w:sz w:val="20"/>
          <w:szCs w:val="20"/>
          <w:color w:val="auto"/>
        </w:rPr>
      </w:pPr>
    </w:p>
    <w:p>
      <w:pPr>
        <w:ind w:firstLine="583"/>
        <w:spacing w:after="0" w:line="268" w:lineRule="auto"/>
        <w:rPr>
          <w:sz w:val="20"/>
          <w:szCs w:val="20"/>
          <w:color w:val="auto"/>
        </w:rPr>
      </w:pPr>
      <w:r>
        <w:rPr>
          <w:rFonts w:ascii="Times New Roman" w:cs="Times New Roman" w:eastAsia="Times New Roman" w:hAnsi="Times New Roman"/>
          <w:sz w:val="21"/>
          <w:szCs w:val="21"/>
          <w:color w:val="auto"/>
        </w:rPr>
        <w:t>Unless a participant withdraws from the Plan or is terminated from participating in the Plan pursuant to paragraph 10 hereof, his/her option for the purchase of Common Stock will be deemed to have been exercised automatically on each Exercise Date for the purchase of the number of full shares of Common Stock which the accumulated payroll deductions in his/her account at that time will purchase at the price of the Common Stock as determined in Paragraph 7 (b). Fractional shares will not be issued under the Plan and any excess funds in a participant's account representing any fractional shares after Common Stock purchases</w:t>
      </w:r>
    </w:p>
    <w:p>
      <w:pPr>
        <w:sectPr>
          <w:pgSz w:w="11900" w:h="16838" w:orient="portrait"/>
          <w:cols w:equalWidth="0" w:num="1">
            <w:col w:w="11240"/>
          </w:cols>
          <w:pgMar w:left="320" w:top="126" w:right="339" w:bottom="0" w:gutter="0" w:footer="0" w:header="0"/>
        </w:sectPr>
      </w:pPr>
    </w:p>
    <w:bookmarkStart w:id="34" w:name="page35"/>
    <w:bookmarkEnd w:id="34"/>
    <w:p>
      <w:pPr>
        <w:ind w:right="380"/>
        <w:spacing w:after="0" w:line="268" w:lineRule="auto"/>
        <w:rPr>
          <w:sz w:val="20"/>
          <w:szCs w:val="20"/>
          <w:color w:val="auto"/>
        </w:rPr>
      </w:pPr>
      <w:r>
        <w:rPr>
          <w:rFonts w:ascii="Times New Roman" w:cs="Times New Roman" w:eastAsia="Times New Roman" w:hAnsi="Times New Roman"/>
          <w:sz w:val="22"/>
          <w:szCs w:val="22"/>
          <w:color w:val="auto"/>
        </w:rPr>
        <w:t>made on each Exercise Date will be automatically carried forward to the next Exercise Period unless the participant elects, by written notice to their payroll department, to have the excess returned to him/her.</w:t>
      </w:r>
    </w:p>
    <w:p>
      <w:pPr>
        <w:spacing w:after="0" w:line="2" w:lineRule="exact"/>
        <w:rPr>
          <w:sz w:val="20"/>
          <w:szCs w:val="20"/>
          <w:color w:val="auto"/>
        </w:rPr>
      </w:pPr>
    </w:p>
    <w:p>
      <w:pPr>
        <w:ind w:right="100" w:firstLine="583"/>
        <w:spacing w:after="0" w:line="256" w:lineRule="auto"/>
        <w:rPr>
          <w:sz w:val="20"/>
          <w:szCs w:val="20"/>
          <w:color w:val="auto"/>
        </w:rPr>
      </w:pPr>
      <w:r>
        <w:rPr>
          <w:rFonts w:ascii="Times New Roman" w:cs="Times New Roman" w:eastAsia="Times New Roman" w:hAnsi="Times New Roman"/>
          <w:sz w:val="22"/>
          <w:szCs w:val="22"/>
          <w:color w:val="auto"/>
        </w:rPr>
        <w:t>In the event that an Exercise Date is of no force or effect pursuant to the provisions of Paragraph 4 above, the automatic exercise described in this Paragraph shall occur on the next succeeding Exercise Date in such Offering Period that has not been determined to be of no force or effect. If there is no such Exercise Date in the Offering Period, all of the participant's outstanding payroll deductions for such Offering Period shall be returned to the participant, without interest.</w:t>
      </w:r>
    </w:p>
    <w:p>
      <w:pPr>
        <w:spacing w:after="0" w:line="68"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OFFERING PERIOD</w:t>
      </w:r>
    </w:p>
    <w:p>
      <w:pPr>
        <w:spacing w:after="0" w:line="58" w:lineRule="exact"/>
        <w:rPr>
          <w:sz w:val="20"/>
          <w:szCs w:val="20"/>
          <w:color w:val="auto"/>
        </w:rPr>
      </w:pPr>
    </w:p>
    <w:p>
      <w:pPr>
        <w:ind w:right="160" w:firstLine="583"/>
        <w:spacing w:after="0" w:line="253" w:lineRule="auto"/>
        <w:rPr>
          <w:sz w:val="20"/>
          <w:szCs w:val="20"/>
          <w:color w:val="auto"/>
        </w:rPr>
      </w:pPr>
      <w:r>
        <w:rPr>
          <w:rFonts w:ascii="Times New Roman" w:cs="Times New Roman" w:eastAsia="Times New Roman" w:hAnsi="Times New Roman"/>
          <w:sz w:val="22"/>
          <w:szCs w:val="22"/>
          <w:color w:val="auto"/>
        </w:rPr>
        <w:t>If the market value of the Common Stock is lower on an Exercise Date than it was on the first day of the Offering Period, then all participants in such Offering Period will be automatically withdrawn from that Offering Period immediately after the participants' exercise of the option on such Exercise Date, and such participants will be automatically re-enrolled in a new Offering Period commencing immediately after that Exercise Date. The old Offering Period terminates upon such automatic re-enrollment.</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WITHDRAWAL AND TERMINATION</w:t>
      </w:r>
    </w:p>
    <w:p>
      <w:pPr>
        <w:spacing w:after="0" w:line="57" w:lineRule="exact"/>
        <w:rPr>
          <w:rFonts w:ascii="Times New Roman" w:cs="Times New Roman" w:eastAsia="Times New Roman" w:hAnsi="Times New Roman"/>
          <w:sz w:val="22"/>
          <w:szCs w:val="22"/>
          <w:color w:val="auto"/>
        </w:rPr>
      </w:pPr>
    </w:p>
    <w:p>
      <w:pPr>
        <w:ind w:right="60" w:firstLine="591"/>
        <w:spacing w:after="0" w:line="251" w:lineRule="auto"/>
        <w:tabs>
          <w:tab w:leader="none" w:pos="1295"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Exercise Date for each Exercise Period, any participant may withdraw all but not less than all of his/her payroll deductions under the Plan for such Exercise Period by giving written notice to his/her payroll department. All of the participant's payroll deductions credited to such account will be paid to him/her after receipt of notice of withdrawal, without interest, and no future payroll deductions will be made. Withdrawal from an Exercise Period will be deemed to be a withdrawal from the Offering Period which includes such Exercise Period. The Company will treat any attempt to borrow by a participant on the security of accumulated payroll deductions as an election to withdraw such deductions.</w:t>
      </w:r>
    </w:p>
    <w:p>
      <w:pPr>
        <w:spacing w:after="0" w:line="32" w:lineRule="exact"/>
        <w:rPr>
          <w:rFonts w:ascii="Times New Roman" w:cs="Times New Roman" w:eastAsia="Times New Roman" w:hAnsi="Times New Roman"/>
          <w:sz w:val="22"/>
          <w:szCs w:val="22"/>
          <w:color w:val="auto"/>
        </w:rPr>
      </w:pPr>
    </w:p>
    <w:p>
      <w:pPr>
        <w:ind w:right="180" w:firstLine="591"/>
        <w:spacing w:after="0" w:line="257" w:lineRule="auto"/>
        <w:tabs>
          <w:tab w:leader="none" w:pos="129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elect not to exercise an option by giving written notice to their payroll department no less than seven (7) business days prior to the applicable Exercise Date. Any such election will be treated as a withdrawal pursuant to section (a) above.</w:t>
      </w:r>
    </w:p>
    <w:p>
      <w:pPr>
        <w:spacing w:after="0" w:line="10" w:lineRule="exact"/>
        <w:rPr>
          <w:rFonts w:ascii="Times New Roman" w:cs="Times New Roman" w:eastAsia="Times New Roman" w:hAnsi="Times New Roman"/>
          <w:sz w:val="22"/>
          <w:szCs w:val="22"/>
          <w:color w:val="auto"/>
        </w:rPr>
      </w:pPr>
    </w:p>
    <w:p>
      <w:pPr>
        <w:jc w:val="both"/>
        <w:ind w:right="300" w:firstLine="591"/>
        <w:spacing w:after="0" w:line="263" w:lineRule="auto"/>
        <w:tabs>
          <w:tab w:leader="none" w:pos="1295"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election not to participate in, or withdrawal from, any Offering Period or Exercise Period within such Offering Period will not have any effect upon his/her eligibility to participate in any succeeding Offering Period or in any similar plan which may hereafter be adopted by the Company.</w:t>
      </w:r>
    </w:p>
    <w:p>
      <w:pPr>
        <w:spacing w:after="0" w:line="5" w:lineRule="exact"/>
        <w:rPr>
          <w:rFonts w:ascii="Times New Roman" w:cs="Times New Roman" w:eastAsia="Times New Roman" w:hAnsi="Times New Roman"/>
          <w:sz w:val="22"/>
          <w:szCs w:val="22"/>
          <w:color w:val="auto"/>
        </w:rPr>
      </w:pPr>
    </w:p>
    <w:p>
      <w:pPr>
        <w:ind w:right="160" w:firstLine="591"/>
        <w:spacing w:after="0" w:line="268" w:lineRule="auto"/>
        <w:tabs>
          <w:tab w:leader="none" w:pos="129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participant's employment for any reason, including retirement but excluding death, all of his/her payroll deductions accrued during the relevant Exercise Period will be returned to the participant.</w:t>
      </w:r>
    </w:p>
    <w:p>
      <w:pPr>
        <w:spacing w:after="0" w:line="2" w:lineRule="exact"/>
        <w:rPr>
          <w:rFonts w:ascii="Times New Roman" w:cs="Times New Roman" w:eastAsia="Times New Roman" w:hAnsi="Times New Roman"/>
          <w:sz w:val="22"/>
          <w:szCs w:val="22"/>
          <w:color w:val="auto"/>
        </w:rPr>
      </w:pPr>
    </w:p>
    <w:p>
      <w:pPr>
        <w:ind w:firstLine="591"/>
        <w:spacing w:after="0" w:line="256" w:lineRule="auto"/>
        <w:tabs>
          <w:tab w:leader="none" w:pos="1295"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participant's employment because of death, the participant's beneficiary (as defined in Paragraph 14) shall have the right to elect, by written notice given to the participant's former payroll department prior to the expiration of a period of 90 days commencing with the date of the death of the participant but in no event later than the applicable Offering Period, either</w:t>
      </w:r>
    </w:p>
    <w:p>
      <w:pPr>
        <w:spacing w:after="0" w:line="14" w:lineRule="exact"/>
        <w:rPr>
          <w:rFonts w:ascii="Times New Roman" w:cs="Times New Roman" w:eastAsia="Times New Roman" w:hAnsi="Times New Roman"/>
          <w:sz w:val="22"/>
          <w:szCs w:val="22"/>
          <w:color w:val="auto"/>
        </w:rPr>
      </w:pPr>
    </w:p>
    <w:p>
      <w:pPr>
        <w:ind w:left="1940" w:hanging="701"/>
        <w:spacing w:after="0"/>
        <w:tabs>
          <w:tab w:leader="none" w:pos="19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withdraw all of the payroll deductions credited to the participant's account under the Plan; or</w:t>
      </w:r>
    </w:p>
    <w:p>
      <w:pPr>
        <w:spacing w:after="0" w:line="27" w:lineRule="exact"/>
        <w:rPr>
          <w:rFonts w:ascii="Times New Roman" w:cs="Times New Roman" w:eastAsia="Times New Roman" w:hAnsi="Times New Roman"/>
          <w:sz w:val="22"/>
          <w:szCs w:val="22"/>
          <w:color w:val="auto"/>
        </w:rPr>
      </w:pPr>
    </w:p>
    <w:p>
      <w:pPr>
        <w:ind w:left="660" w:right="20" w:firstLine="579"/>
        <w:spacing w:after="0" w:line="246" w:lineRule="auto"/>
        <w:tabs>
          <w:tab w:leader="none" w:pos="1952"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the participant's option for the purchase of stock on the Exercise Date next following the date of the participant's death for the purchase of the number of full shares which the participant's accumulated payroll deductions, at the date of the participant's death, will purchase at the applicable price, and any excess deductions will be returned to said beneficiary. In the event that no such written notice of election shall be duly received by the appropriate payroll department of the Company, the beneficiary shall automatically be deemed to have elected to withdraw the payroll deductions credited to the participant at the date of the participant's death and the same will be paid promptly to said beneficiary.</w:t>
      </w:r>
    </w:p>
    <w:p>
      <w:pPr>
        <w:spacing w:after="0" w:line="77"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w:t>
      </w:r>
    </w:p>
    <w:p>
      <w:pPr>
        <w:spacing w:after="0" w:line="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No interest will be paid or allowed on any money paid into the Plan or credited to any participant.</w:t>
      </w:r>
    </w:p>
    <w:p>
      <w:pPr>
        <w:spacing w:after="0" w:line="11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w:t>
      </w:r>
    </w:p>
    <w:p>
      <w:pPr>
        <w:spacing w:after="0" w:line="57" w:lineRule="exact"/>
        <w:rPr>
          <w:rFonts w:ascii="Times New Roman" w:cs="Times New Roman" w:eastAsia="Times New Roman" w:hAnsi="Times New Roman"/>
          <w:sz w:val="22"/>
          <w:szCs w:val="22"/>
          <w:color w:val="auto"/>
        </w:rPr>
      </w:pPr>
    </w:p>
    <w:p>
      <w:pPr>
        <w:ind w:right="180" w:firstLine="591"/>
        <w:spacing w:after="0" w:line="263" w:lineRule="auto"/>
        <w:tabs>
          <w:tab w:leader="none" w:pos="1295"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maximum number of shares of Common Stock available for issuance and purchase by participants under the Plan, subject to adjustment upon changes in capitalization of the Company as provided in Paragraph 17, shall be 12,150,000 shares of Common Stock, par value $.01 per share, of the Company. If on a given Exercise Date the number of shares with respect to which options are to be exercised exceeds the number of shares then available, the Company shall make a pro rata allocation of the shares available for delivery and distribution in an equitable manner, with the balances of payroll deductions credited to each participant under the Plan carried forward to the next Exercise Period in the applicable Offering Period or returned to the participant if the participant so chooses, by giving written notice to their payroll department to this effect.</w:t>
      </w:r>
    </w:p>
    <w:p>
      <w:pPr>
        <w:spacing w:after="0" w:line="10" w:lineRule="exact"/>
        <w:rPr>
          <w:rFonts w:ascii="Times New Roman" w:cs="Times New Roman" w:eastAsia="Times New Roman" w:hAnsi="Times New Roman"/>
          <w:sz w:val="21"/>
          <w:szCs w:val="21"/>
          <w:color w:val="auto"/>
        </w:rPr>
      </w:pPr>
    </w:p>
    <w:p>
      <w:pPr>
        <w:ind w:left="1300" w:hanging="709"/>
        <w:spacing w:after="0"/>
        <w:tabs>
          <w:tab w:leader="none" w:pos="13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have no interest in stock underlying his/her option until such option has been exercised.</w:t>
      </w:r>
    </w:p>
    <w:p>
      <w:pPr>
        <w:spacing w:after="0" w:line="57" w:lineRule="exact"/>
        <w:rPr>
          <w:rFonts w:ascii="Times New Roman" w:cs="Times New Roman" w:eastAsia="Times New Roman" w:hAnsi="Times New Roman"/>
          <w:sz w:val="22"/>
          <w:szCs w:val="22"/>
          <w:color w:val="auto"/>
        </w:rPr>
      </w:pPr>
    </w:p>
    <w:p>
      <w:pPr>
        <w:ind w:firstLine="591"/>
        <w:spacing w:after="0" w:line="263" w:lineRule="auto"/>
        <w:tabs>
          <w:tab w:leader="none" w:pos="129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in its sole discretion, may establish a minimum holding period, if any, for shares of stock acquired pursuant hereto by any participant or his beneficiary pursuant to Paragraph 14 hereof. Certificates representing said shares of stock issued pursuant to this Plan may bear legends to that effect.</w:t>
      </w:r>
    </w:p>
    <w:p>
      <w:pPr>
        <w:spacing w:after="0" w:line="5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ADMINISTRATION</w:t>
      </w:r>
    </w:p>
    <w:p>
      <w:pPr>
        <w:spacing w:after="0" w:line="58" w:lineRule="exact"/>
        <w:rPr>
          <w:sz w:val="20"/>
          <w:szCs w:val="20"/>
          <w:color w:val="auto"/>
        </w:rPr>
      </w:pPr>
    </w:p>
    <w:p>
      <w:pPr>
        <w:ind w:right="20" w:firstLine="583"/>
        <w:spacing w:after="0" w:line="281" w:lineRule="auto"/>
        <w:rPr>
          <w:sz w:val="20"/>
          <w:szCs w:val="20"/>
          <w:color w:val="auto"/>
        </w:rPr>
      </w:pPr>
      <w:r>
        <w:rPr>
          <w:rFonts w:ascii="Times New Roman" w:cs="Times New Roman" w:eastAsia="Times New Roman" w:hAnsi="Times New Roman"/>
          <w:sz w:val="21"/>
          <w:szCs w:val="21"/>
          <w:color w:val="auto"/>
        </w:rPr>
        <w:t>The Plan shall be administered by the Committee. The interpretation and construction of any provision of the Plan and adoption of rules and regulations for administering the Plan shall be made by the Committee. Determinations made by the Committee with respect to any matter or provision contained in the Plan shall be final, conclusive and binding upon the Company</w:t>
      </w:r>
    </w:p>
    <w:p>
      <w:pPr>
        <w:sectPr>
          <w:pgSz w:w="11900" w:h="16838" w:orient="portrait"/>
          <w:cols w:equalWidth="0" w:num="1">
            <w:col w:w="11240"/>
          </w:cols>
          <w:pgMar w:left="320" w:top="126" w:right="339" w:bottom="0" w:gutter="0" w:footer="0" w:header="0"/>
        </w:sectPr>
      </w:pPr>
    </w:p>
    <w:bookmarkStart w:id="35" w:name="page36"/>
    <w:bookmarkEnd w:id="35"/>
    <w:p>
      <w:pPr>
        <w:spacing w:after="0" w:line="271" w:lineRule="auto"/>
        <w:rPr>
          <w:sz w:val="20"/>
          <w:szCs w:val="20"/>
          <w:color w:val="auto"/>
        </w:rPr>
      </w:pPr>
      <w:r>
        <w:rPr>
          <w:rFonts w:ascii="Times New Roman" w:cs="Times New Roman" w:eastAsia="Times New Roman" w:hAnsi="Times New Roman"/>
          <w:sz w:val="22"/>
          <w:szCs w:val="22"/>
          <w:color w:val="auto"/>
        </w:rPr>
        <w:t>and upon all participants, their heirs or legal representatives. Any rule or regulation adopted by the Committee shall remain in full force and effect unless and until altered, amended, or repealed by the Committee.</w:t>
      </w:r>
    </w:p>
    <w:p>
      <w:pPr>
        <w:spacing w:after="0" w:line="5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DESIGNATION OF BENEFICIARY</w:t>
      </w:r>
    </w:p>
    <w:p>
      <w:pPr>
        <w:spacing w:after="0" w:line="71" w:lineRule="exact"/>
        <w:rPr>
          <w:sz w:val="20"/>
          <w:szCs w:val="20"/>
          <w:color w:val="auto"/>
        </w:rPr>
      </w:pPr>
    </w:p>
    <w:p>
      <w:pPr>
        <w:ind w:right="40" w:firstLine="583"/>
        <w:spacing w:after="0" w:line="249" w:lineRule="auto"/>
        <w:rPr>
          <w:sz w:val="20"/>
          <w:szCs w:val="20"/>
          <w:color w:val="auto"/>
        </w:rPr>
      </w:pPr>
      <w:r>
        <w:rPr>
          <w:rFonts w:ascii="Times New Roman" w:cs="Times New Roman" w:eastAsia="Times New Roman" w:hAnsi="Times New Roman"/>
          <w:sz w:val="22"/>
          <w:szCs w:val="22"/>
          <w:color w:val="auto"/>
        </w:rPr>
        <w:t>A participant shall file with their payroll department a written designation of a beneficiary who is to receive any Common Stock and/or cash under the Plan. Such designation of beneficiary may be changed by the participant at any time by written notice. Upon the death of a participant and upon receipt by the Company of proof of the identity and existence at the participant's death of a beneficiary validly designated by him under the Plan, the Company shall deliver such Common Stock and/or cash to such beneficiary validly designated under the Plan who is living at the time of such participant's death, the Company shall deliver such Common Stock and/or cash to the executor or administrator of the estate of the participant. No beneficiary shall prior to the death of the participant by whom he has been designated, acquire any interest in the Common Stock and/or cash credited to the participant under the Plan.</w:t>
      </w:r>
    </w:p>
    <w:p>
      <w:pPr>
        <w:spacing w:after="0" w:line="7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TRANSFERABILITY</w:t>
      </w:r>
    </w:p>
    <w:p>
      <w:pPr>
        <w:spacing w:after="0" w:line="58" w:lineRule="exact"/>
        <w:rPr>
          <w:sz w:val="20"/>
          <w:szCs w:val="20"/>
          <w:color w:val="auto"/>
        </w:rPr>
      </w:pPr>
    </w:p>
    <w:p>
      <w:pPr>
        <w:ind w:right="260" w:firstLine="583"/>
        <w:spacing w:after="0" w:line="253" w:lineRule="auto"/>
        <w:rPr>
          <w:sz w:val="20"/>
          <w:szCs w:val="20"/>
          <w:color w:val="auto"/>
        </w:rPr>
      </w:pPr>
      <w:r>
        <w:rPr>
          <w:rFonts w:ascii="Times New Roman" w:cs="Times New Roman" w:eastAsia="Times New Roman" w:hAnsi="Times New Roman"/>
          <w:sz w:val="22"/>
          <w:szCs w:val="22"/>
          <w:color w:val="auto"/>
        </w:rPr>
        <w:t>Neither payroll deductions credited to a participant nor any rights with regard to the exercise of an option or to receive Common Stock under the Plan may be assigned, transferred, pledged, or otherwise disposed of in any way by the participant other than by will or the laws of descent and distribution. Any such attempted assignment, transfer, pledge, or other disposition shall be without effect, except that the Company may treat such act as an election to withdraw funds in accordance with Paragraph 10(a).</w:t>
      </w:r>
    </w:p>
    <w:p>
      <w:pPr>
        <w:spacing w:after="0" w:line="7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OF FUNDS</w:t>
      </w:r>
    </w:p>
    <w:p>
      <w:pPr>
        <w:spacing w:after="0" w:line="58" w:lineRule="exact"/>
        <w:rPr>
          <w:sz w:val="20"/>
          <w:szCs w:val="20"/>
          <w:color w:val="auto"/>
        </w:rPr>
      </w:pPr>
    </w:p>
    <w:p>
      <w:pPr>
        <w:ind w:right="280" w:firstLine="583"/>
        <w:spacing w:after="0" w:line="284" w:lineRule="auto"/>
        <w:rPr>
          <w:sz w:val="20"/>
          <w:szCs w:val="20"/>
          <w:color w:val="auto"/>
        </w:rPr>
      </w:pPr>
      <w:r>
        <w:rPr>
          <w:rFonts w:ascii="Times New Roman" w:cs="Times New Roman" w:eastAsia="Times New Roman" w:hAnsi="Times New Roman"/>
          <w:sz w:val="22"/>
          <w:szCs w:val="22"/>
          <w:color w:val="auto"/>
        </w:rPr>
        <w:t>All payroll deductions received or held by the Company under this Plan may be used by the Company for any corporate purpose, and the Company shall not be obligated to segregate such payroll deductions.</w:t>
      </w:r>
    </w:p>
    <w:p>
      <w:pPr>
        <w:spacing w:after="0" w:line="3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CHANGES OF COMMON STOCK</w:t>
      </w:r>
    </w:p>
    <w:p>
      <w:pPr>
        <w:spacing w:after="0" w:line="58" w:lineRule="exact"/>
        <w:rPr>
          <w:sz w:val="20"/>
          <w:szCs w:val="20"/>
          <w:color w:val="auto"/>
        </w:rPr>
      </w:pPr>
    </w:p>
    <w:p>
      <w:pPr>
        <w:ind w:right="120" w:firstLine="583"/>
        <w:spacing w:after="0" w:line="250" w:lineRule="auto"/>
        <w:rPr>
          <w:sz w:val="20"/>
          <w:szCs w:val="20"/>
          <w:color w:val="auto"/>
        </w:rPr>
      </w:pPr>
      <w:r>
        <w:rPr>
          <w:rFonts w:ascii="Times New Roman" w:cs="Times New Roman" w:eastAsia="Times New Roman" w:hAnsi="Times New Roman"/>
          <w:sz w:val="22"/>
          <w:szCs w:val="22"/>
          <w:color w:val="auto"/>
        </w:rPr>
        <w:t>If the Company shall subdivide or reclassify the Common Stock which has been or may be optioned under this Plan, or shall declare thereon any dividend payable in shares of such Common Stock, or shall take any other action of a similar nature affecting such Common Stock, then the number and class of shares of Common Stock which may thereafter be optioned (in the aggregate and to any participant) shall be adjusted accordingly and in the case of each option outstanding at the time of any such action, the number and class of shares which may thereafter be purchased pursuant to such option and the option price per share shall be adjusted to such extent as may be determined by the Committee, with the approval of independent public accountants and counsel, to be necessary to preserve the rights of the holder of such option.</w:t>
      </w:r>
    </w:p>
    <w:p>
      <w:pPr>
        <w:spacing w:after="0" w:line="7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OR TERMINATION</w:t>
      </w:r>
    </w:p>
    <w:p>
      <w:pPr>
        <w:spacing w:after="0" w:line="58" w:lineRule="exact"/>
        <w:rPr>
          <w:sz w:val="20"/>
          <w:szCs w:val="20"/>
          <w:color w:val="auto"/>
        </w:rPr>
      </w:pPr>
    </w:p>
    <w:p>
      <w:pPr>
        <w:ind w:right="40" w:firstLine="583"/>
        <w:spacing w:after="0" w:line="263" w:lineRule="auto"/>
        <w:rPr>
          <w:sz w:val="20"/>
          <w:szCs w:val="20"/>
          <w:color w:val="auto"/>
        </w:rPr>
      </w:pPr>
      <w:r>
        <w:rPr>
          <w:rFonts w:ascii="Times New Roman" w:cs="Times New Roman" w:eastAsia="Times New Roman" w:hAnsi="Times New Roman"/>
          <w:sz w:val="22"/>
          <w:szCs w:val="22"/>
          <w:color w:val="auto"/>
        </w:rPr>
        <w:t>The Board may at any time terminate or amend the Plan. No such termination shall affect options previously granted, nor may an amendment make any change in any option theretofore granted which would adversely affect the rights of any participant holding options under the Plan.</w:t>
      </w:r>
    </w:p>
    <w:p>
      <w:pPr>
        <w:spacing w:after="0" w:line="5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w:t>
      </w:r>
    </w:p>
    <w:p>
      <w:pPr>
        <w:spacing w:after="0" w:line="58" w:lineRule="exact"/>
        <w:rPr>
          <w:sz w:val="20"/>
          <w:szCs w:val="20"/>
          <w:color w:val="auto"/>
        </w:rPr>
      </w:pPr>
    </w:p>
    <w:p>
      <w:pPr>
        <w:ind w:right="20" w:firstLine="583"/>
        <w:spacing w:after="0" w:line="271" w:lineRule="auto"/>
        <w:rPr>
          <w:sz w:val="20"/>
          <w:szCs w:val="20"/>
          <w:color w:val="auto"/>
        </w:rPr>
      </w:pPr>
      <w:r>
        <w:rPr>
          <w:rFonts w:ascii="Times New Roman" w:cs="Times New Roman" w:eastAsia="Times New Roman" w:hAnsi="Times New Roman"/>
          <w:sz w:val="22"/>
          <w:szCs w:val="22"/>
          <w:color w:val="auto"/>
        </w:rPr>
        <w:t>All notices or other communications by a participant to the Company under or in connection with the Plan shall be deemed to have been duly given when received by the participant's payroll department.</w:t>
      </w:r>
    </w:p>
    <w:p>
      <w:pPr>
        <w:spacing w:after="0" w:line="63"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 OR CONSOLIDATION</w:t>
      </w:r>
    </w:p>
    <w:p>
      <w:pPr>
        <w:spacing w:after="0" w:line="58" w:lineRule="exact"/>
        <w:rPr>
          <w:sz w:val="20"/>
          <w:szCs w:val="20"/>
          <w:color w:val="auto"/>
        </w:rPr>
      </w:pPr>
    </w:p>
    <w:p>
      <w:pPr>
        <w:ind w:right="680" w:firstLine="583"/>
        <w:spacing w:after="0" w:line="254" w:lineRule="auto"/>
        <w:rPr>
          <w:sz w:val="20"/>
          <w:szCs w:val="20"/>
          <w:color w:val="auto"/>
        </w:rPr>
      </w:pPr>
      <w:r>
        <w:rPr>
          <w:rFonts w:ascii="Times New Roman" w:cs="Times New Roman" w:eastAsia="Times New Roman" w:hAnsi="Times New Roman"/>
          <w:sz w:val="22"/>
          <w:szCs w:val="22"/>
          <w:color w:val="auto"/>
        </w:rPr>
        <w:t>If the Company shall at any time merge into or consolidate with another corporation, the holder of each option then outstanding will thereafter be entitled to receive at the next Exercise Date upon the exercise of such</w:t>
      </w:r>
    </w:p>
    <w:p>
      <w:pPr>
        <w:spacing w:after="0" w:line="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2"/>
          <w:szCs w:val="22"/>
          <w:color w:val="auto"/>
        </w:rPr>
        <w:t>option for each share as to which such option shall be exercised, the securities or property which a holder of one share of the Common Stock was entitled to upon and at the time of such merger or consolidation. In accordance with this Paragraph and Paragraph 17, the Committee shall determine the kind and amount of such securities or property which such holder of an option shall be entitled to receive. A sale of all or substantially all of the assets of the Company shall be deemed a merger or consolidation for the foregoing purposes.</w:t>
      </w:r>
    </w:p>
    <w:p>
      <w:pPr>
        <w:spacing w:after="0" w:line="78"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OF STOCKHOLDERS</w:t>
      </w:r>
    </w:p>
    <w:p>
      <w:pPr>
        <w:spacing w:after="0" w:line="58" w:lineRule="exact"/>
        <w:rPr>
          <w:sz w:val="20"/>
          <w:szCs w:val="20"/>
          <w:color w:val="auto"/>
        </w:rPr>
      </w:pPr>
    </w:p>
    <w:p>
      <w:pPr>
        <w:ind w:right="580" w:firstLine="583"/>
        <w:spacing w:after="0" w:line="271" w:lineRule="auto"/>
        <w:rPr>
          <w:sz w:val="20"/>
          <w:szCs w:val="20"/>
          <w:color w:val="auto"/>
        </w:rPr>
      </w:pPr>
      <w:r>
        <w:rPr>
          <w:rFonts w:ascii="Times New Roman" w:cs="Times New Roman" w:eastAsia="Times New Roman" w:hAnsi="Times New Roman"/>
          <w:sz w:val="22"/>
          <w:szCs w:val="22"/>
          <w:color w:val="auto"/>
        </w:rPr>
        <w:t>The Plan is subject to the approval of the stockholders of the Company at their next annual meeting or at any special meeting of the stockholders for which one of the purposes of such a special meeting shall be to act upon the Plan.</w:t>
      </w:r>
    </w:p>
    <w:p>
      <w:pPr>
        <w:spacing w:after="0" w:line="6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GOVERNMENTAL AND OTHER REGULATIONS</w:t>
      </w:r>
    </w:p>
    <w:p>
      <w:pPr>
        <w:spacing w:after="0" w:line="58" w:lineRule="exact"/>
        <w:rPr>
          <w:sz w:val="20"/>
          <w:szCs w:val="20"/>
          <w:color w:val="auto"/>
        </w:rPr>
      </w:pPr>
    </w:p>
    <w:p>
      <w:pPr>
        <w:ind w:firstLine="583"/>
        <w:spacing w:after="0" w:line="263" w:lineRule="auto"/>
        <w:rPr>
          <w:sz w:val="20"/>
          <w:szCs w:val="20"/>
          <w:color w:val="auto"/>
        </w:rPr>
      </w:pPr>
      <w:r>
        <w:rPr>
          <w:rFonts w:ascii="Times New Roman" w:cs="Times New Roman" w:eastAsia="Times New Roman" w:hAnsi="Times New Roman"/>
          <w:sz w:val="21"/>
          <w:szCs w:val="21"/>
          <w:color w:val="auto"/>
        </w:rPr>
        <w:t>The Plan, and the grant and exercise of the rights to purchase shares hereunder, and the Company's obligation to sell and deliver shares upon the exercise of rights to purchase shares, shall be subject to all applicable federal, state and foreign laws, rules and regulations, and to such approvals by any regulatory or governmental agency as may, in the opinion of counsel for the Company, be required. The Plan shall be governed by, and construed and enforced in accordance with, the provisions of Sections 421, 423 and 424 of the Code and the substantive laws of the Commonwealth of Massachusetts. In the event of any inconsistency between such provisions of the Code and any such laws, said provisions of the Code shall govern to the extent necessary to preserve favorable federal income tax treatment afforded employee stock purchase plans under Section 423 of the Code.</w:t>
      </w:r>
    </w:p>
    <w:p>
      <w:pPr>
        <w:sectPr>
          <w:pgSz w:w="11900" w:h="16838" w:orient="portrait"/>
          <w:cols w:equalWidth="0" w:num="1">
            <w:col w:w="11240"/>
          </w:cols>
          <w:pgMar w:left="320" w:top="126" w:right="339" w:bottom="661"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PROGRESS SOFTWARE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2008 STOCK OPTION AND INCENTIVE PLAN</w:t>
      </w:r>
    </w:p>
    <w:p>
      <w:pPr>
        <w:spacing w:after="0" w:line="1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(Amended and Restated by the Board of Directors: March 24,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GENERAL PURPOSE OF THE PLAN; DEFINITIONS</w:t>
      </w:r>
    </w:p>
    <w:p>
      <w:pPr>
        <w:spacing w:after="0" w:line="58" w:lineRule="exact"/>
        <w:rPr>
          <w:sz w:val="20"/>
          <w:szCs w:val="20"/>
          <w:color w:val="auto"/>
        </w:rPr>
      </w:pPr>
    </w:p>
    <w:p>
      <w:pPr>
        <w:ind w:right="40" w:firstLine="583"/>
        <w:spacing w:after="0" w:line="250" w:lineRule="auto"/>
        <w:rPr>
          <w:sz w:val="20"/>
          <w:szCs w:val="20"/>
          <w:color w:val="auto"/>
        </w:rPr>
      </w:pPr>
      <w:r>
        <w:rPr>
          <w:rFonts w:ascii="Times New Roman" w:cs="Times New Roman" w:eastAsia="Times New Roman" w:hAnsi="Times New Roman"/>
          <w:sz w:val="22"/>
          <w:szCs w:val="22"/>
          <w:color w:val="auto"/>
        </w:rPr>
        <w:t>The name of the plan is the Amended and Restated Progress Software Corporation 2008 Stock Option and Incentive Plan (the "Plan"). The purpose of the Plan is to encourage and enable the officers, employees, Non-Employee Directors and other key persons (including consultants and prospective employees) of Progress Software Corporation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"Act" means the Securities Act of 1933, as amended, and the rules and regulations thereunder.</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"Administrator" means either the Board or the Committee.</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"Adoption Date" means March 12, 2008.</w:t>
      </w:r>
    </w:p>
    <w:p>
      <w:pPr>
        <w:spacing w:after="0" w:line="4" w:lineRule="exact"/>
        <w:rPr>
          <w:sz w:val="20"/>
          <w:szCs w:val="20"/>
          <w:color w:val="auto"/>
        </w:rPr>
      </w:pPr>
    </w:p>
    <w:p>
      <w:pPr>
        <w:jc w:val="both"/>
        <w:ind w:right="520" w:firstLine="648"/>
        <w:spacing w:after="0" w:line="255" w:lineRule="auto"/>
        <w:rPr>
          <w:sz w:val="20"/>
          <w:szCs w:val="20"/>
          <w:color w:val="auto"/>
        </w:rPr>
      </w:pPr>
      <w:r>
        <w:rPr>
          <w:rFonts w:ascii="Times New Roman" w:cs="Times New Roman" w:eastAsia="Times New Roman" w:hAnsi="Times New Roman"/>
          <w:sz w:val="21"/>
          <w:szCs w:val="21"/>
          <w:color w:val="auto"/>
        </w:rPr>
        <w:t>"Award" or "Awards," except where referring to a particular category of grant under the Plan, shall include Incentive Stock Options, Non-Qualified Stock Options, Stock Appreciation Rights, Deferred Stock Awards, Restricted Stock Awards, Unrestricted Stock Awards, Cash-Based Awards, Performance Share Awards and Dividend Equivalent Rights.</w:t>
      </w:r>
    </w:p>
    <w:p>
      <w:pPr>
        <w:spacing w:after="0" w:line="2"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"Award Document" means a written or electronic document setting forth the terms and provisions applicable to an Award granted under the Plan. Each Award Document is subject to the terms and conditions of the Plan.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"Board" means the Board of Directors of the Company.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"Cash-Based Award" means an Award entitling the recipient to receive a cash-denominated payment.</w:t>
      </w:r>
    </w:p>
    <w:p>
      <w:pPr>
        <w:spacing w:after="0" w:line="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22"/>
          <w:szCs w:val="22"/>
          <w:color w:val="auto"/>
        </w:rPr>
        <w:t>"Cause" means (i) any material breach by the grantee of any agreement to which the grantee and the Company are both parties, (ii) any act or omission to act by the grantee which may have a material and adverse effect on the Company's business or on the grantee's ability to perform services for the Company, including, without limitation, the commission of any crime (other than ordinary traffic violations), or (iii) any material misconduct or material neglect of duties by the grantee in connection with the business or affairs of the Company or any affiliate of the Company.</w:t>
      </w:r>
    </w:p>
    <w:p>
      <w:pPr>
        <w:spacing w:after="0" w:line="5" w:lineRule="exact"/>
        <w:rPr>
          <w:sz w:val="20"/>
          <w:szCs w:val="20"/>
          <w:color w:val="auto"/>
        </w:rPr>
      </w:pPr>
    </w:p>
    <w:p>
      <w:pPr>
        <w:ind w:right="360" w:firstLine="648"/>
        <w:spacing w:after="0" w:line="244" w:lineRule="auto"/>
        <w:rPr>
          <w:sz w:val="20"/>
          <w:szCs w:val="20"/>
          <w:color w:val="auto"/>
        </w:rPr>
      </w:pPr>
      <w:r>
        <w:rPr>
          <w:rFonts w:ascii="Times New Roman" w:cs="Times New Roman" w:eastAsia="Times New Roman" w:hAnsi="Times New Roman"/>
          <w:sz w:val="22"/>
          <w:szCs w:val="22"/>
          <w:color w:val="auto"/>
        </w:rPr>
        <w:t>"Code" means the Internal Revenue Code of 1986, as amended, and any successor Code, and related rules, regulations and interpretations.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"Committee" means a committee which is comprised of not less than two Non-Employee Directors who are independent.</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"Deferred Stock Award" means an Award of phantom stock units to a grantee, including restricted stock units.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"Disability" means disability as set forth in Section 22(e)(3) of the Code.</w:t>
      </w:r>
    </w:p>
    <w:p>
      <w:pPr>
        <w:spacing w:after="0" w:line="4"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22"/>
          <w:szCs w:val="22"/>
          <w:color w:val="auto"/>
        </w:rPr>
        <w:t>"Dividend Equivalent Right"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spacing w:after="0" w:line="2" w:lineRule="exact"/>
        <w:rPr>
          <w:sz w:val="20"/>
          <w:szCs w:val="20"/>
          <w:color w:val="auto"/>
        </w:rPr>
      </w:pPr>
    </w:p>
    <w:p>
      <w:pPr>
        <w:ind w:left="600" w:right="700"/>
        <w:spacing w:after="0" w:line="254" w:lineRule="auto"/>
        <w:rPr>
          <w:sz w:val="20"/>
          <w:szCs w:val="20"/>
          <w:color w:val="auto"/>
        </w:rPr>
      </w:pPr>
      <w:r>
        <w:rPr>
          <w:rFonts w:ascii="Times New Roman" w:cs="Times New Roman" w:eastAsia="Times New Roman" w:hAnsi="Times New Roman"/>
          <w:sz w:val="21"/>
          <w:szCs w:val="21"/>
          <w:color w:val="auto"/>
        </w:rPr>
        <w:t>"Effective Date" means the date on which the Plan is approved by shareholders as set forth in Section 21. "Exchange Act" means the Securities Exchange Act of 1934, as amended, and the rules and regulations thereunder. "Fair Market Value" of the Stock on any given date means the closing price per share of Stock as reported by the</w:t>
      </w:r>
    </w:p>
    <w:p>
      <w:pPr>
        <w:spacing w:after="0" w:line="3"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2"/>
          <w:szCs w:val="22"/>
          <w:color w:val="auto"/>
        </w:rPr>
        <w:t>NASDAQ Global Select Market or another national securities exchange. If there are no market quotations for such date, the determination shall be made by reference to the last date preceding such date for which there are market quotations. If the Stock is not quoted on the NASDAQ Global Select Market or another</w:t>
      </w:r>
    </w:p>
    <w:p>
      <w:pPr>
        <w:spacing w:after="0" w:line="2" w:lineRule="exact"/>
        <w:rPr>
          <w:sz w:val="20"/>
          <w:szCs w:val="20"/>
          <w:color w:val="auto"/>
        </w:rPr>
      </w:pPr>
    </w:p>
    <w:p>
      <w:pPr>
        <w:ind w:left="660" w:right="280" w:hanging="647"/>
        <w:spacing w:after="0" w:line="254" w:lineRule="auto"/>
        <w:rPr>
          <w:sz w:val="20"/>
          <w:szCs w:val="20"/>
          <w:color w:val="auto"/>
        </w:rPr>
      </w:pPr>
      <w:r>
        <w:rPr>
          <w:rFonts w:ascii="Times New Roman" w:cs="Times New Roman" w:eastAsia="Times New Roman" w:hAnsi="Times New Roman"/>
          <w:sz w:val="21"/>
          <w:szCs w:val="21"/>
          <w:color w:val="auto"/>
        </w:rPr>
        <w:t>national securities exchange, the fair market value of the Stock shall be as determined in good faith by the Administrator. "Incentive Stock Option" means any Stock Option designated and qualified as an "incentive stock option" as defined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422 of the Code.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"Non-Employee Director" means a member of the Board who is not also an employee of the Company or any Subsidiary.</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"Non-Qualified Stock Option" means any Stock Option that is not an Incentive Stock Option.</w:t>
      </w:r>
    </w:p>
    <w:p>
      <w:pPr>
        <w:spacing w:after="0" w:line="15" w:lineRule="exact"/>
        <w:rPr>
          <w:sz w:val="20"/>
          <w:szCs w:val="20"/>
          <w:color w:val="auto"/>
        </w:rPr>
      </w:pPr>
    </w:p>
    <w:p>
      <w:pPr>
        <w:ind w:left="660" w:right="360"/>
        <w:spacing w:after="0" w:line="254" w:lineRule="auto"/>
        <w:rPr>
          <w:sz w:val="20"/>
          <w:szCs w:val="20"/>
          <w:color w:val="auto"/>
        </w:rPr>
      </w:pPr>
      <w:r>
        <w:rPr>
          <w:rFonts w:ascii="Times New Roman" w:cs="Times New Roman" w:eastAsia="Times New Roman" w:hAnsi="Times New Roman"/>
          <w:sz w:val="21"/>
          <w:szCs w:val="21"/>
          <w:color w:val="auto"/>
        </w:rPr>
        <w:t>"Option" or "Stock Option" means any option to purchase shares of Stock granted pursuant to Section 5. "Performance-Based Award" means any Restricted Stock Award, Deferred Stock Award, Performance Share Award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Cash-Based Award that is subject to performance-based vesting conditions.</w:t>
      </w:r>
    </w:p>
    <w:p>
      <w:pPr>
        <w:spacing w:after="0" w:line="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"Performance Criteria" means the criteria that the Administrator selects for purposes of establishing the Performance 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may include, but are not limited to the following: revenue, non-GAAP operating income, earnings before interest, taxes, depreciation and amortization, net income (loss) (either before or after interest, taxes, depreciation and/or amortization), changes in the market price of the Stock, economic value-added, sales or revenue, acquisitions or strategic transactions, cash flow (including, but not limited to, operating cash flow and free cash flow), return on capital, assets, equity, or investment, total shareholder returns, return on sales, gross or net profit levels, productivity, expense, margins, operating efficiency, working capital, earnings (loss) per share of Stock, sales or market shares</w:t>
      </w:r>
    </w:p>
    <w:p>
      <w:pPr>
        <w:sectPr>
          <w:pgSz w:w="11900" w:h="16838" w:orient="portrait"/>
          <w:cols w:equalWidth="0" w:num="1">
            <w:col w:w="11240"/>
          </w:cols>
          <w:pgMar w:left="320" w:top="117" w:right="339" w:bottom="0" w:gutter="0" w:footer="0" w:header="0"/>
        </w:sectPr>
      </w:pPr>
    </w:p>
    <w:bookmarkStart w:id="37" w:name="page38"/>
    <w:bookmarkEnd w:id="37"/>
    <w:p>
      <w:pPr>
        <w:ind w:right="120"/>
        <w:spacing w:after="0" w:line="254" w:lineRule="auto"/>
        <w:rPr>
          <w:sz w:val="20"/>
          <w:szCs w:val="20"/>
          <w:color w:val="auto"/>
        </w:rPr>
      </w:pPr>
      <w:r>
        <w:rPr>
          <w:rFonts w:ascii="Times New Roman" w:cs="Times New Roman" w:eastAsia="Times New Roman" w:hAnsi="Times New Roman"/>
          <w:sz w:val="22"/>
          <w:szCs w:val="22"/>
          <w:color w:val="auto"/>
        </w:rPr>
        <w:t>and number of customers, any of which may be measured either in absolute terms or as compared to any incremental increase or as compared to results of a peer group.</w:t>
      </w:r>
    </w:p>
    <w:p>
      <w:pPr>
        <w:spacing w:after="0" w:line="2" w:lineRule="exact"/>
        <w:rPr>
          <w:sz w:val="20"/>
          <w:szCs w:val="20"/>
          <w:color w:val="auto"/>
        </w:rPr>
      </w:pPr>
    </w:p>
    <w:p>
      <w:pPr>
        <w:ind w:right="140" w:firstLine="583"/>
        <w:spacing w:after="0" w:line="246" w:lineRule="auto"/>
        <w:rPr>
          <w:sz w:val="20"/>
          <w:szCs w:val="20"/>
          <w:color w:val="auto"/>
        </w:rPr>
      </w:pPr>
      <w:r>
        <w:rPr>
          <w:rFonts w:ascii="Times New Roman" w:cs="Times New Roman" w:eastAsia="Times New Roman" w:hAnsi="Times New Roman"/>
          <w:sz w:val="22"/>
          <w:szCs w:val="22"/>
          <w:color w:val="auto"/>
        </w:rPr>
        <w:t>"Performance Cycle" means one or more periods of time, which may be of varying and overlapping durations, as the Administrator may select, over which the attainment of one or more Performance Criteria will be measured for the purpose of determining a grantee's right to and the payment of a Restricted Stock Award, Deferred Stock Award, Performance Share Award or Cash-Based Award.</w:t>
      </w:r>
    </w:p>
    <w:p>
      <w:pPr>
        <w:spacing w:after="0" w:line="2" w:lineRule="exact"/>
        <w:rPr>
          <w:sz w:val="20"/>
          <w:szCs w:val="20"/>
          <w:color w:val="auto"/>
        </w:rPr>
      </w:pPr>
    </w:p>
    <w:p>
      <w:pPr>
        <w:ind w:right="120" w:firstLine="583"/>
        <w:spacing w:after="0" w:line="244" w:lineRule="auto"/>
        <w:rPr>
          <w:sz w:val="20"/>
          <w:szCs w:val="20"/>
          <w:color w:val="auto"/>
        </w:rPr>
      </w:pPr>
      <w:r>
        <w:rPr>
          <w:rFonts w:ascii="Times New Roman" w:cs="Times New Roman" w:eastAsia="Times New Roman" w:hAnsi="Times New Roman"/>
          <w:sz w:val="22"/>
          <w:szCs w:val="22"/>
          <w:color w:val="auto"/>
        </w:rPr>
        <w:t>"Performance Goals" means, for a Performance Cycle, the specific goals established in writing by the Administrator for a Performance Cycle based upon the Performance Criteria.</w:t>
      </w:r>
    </w:p>
    <w:p>
      <w:pPr>
        <w:spacing w:after="0" w:line="1" w:lineRule="exact"/>
        <w:rPr>
          <w:sz w:val="20"/>
          <w:szCs w:val="20"/>
          <w:color w:val="auto"/>
        </w:rPr>
      </w:pPr>
    </w:p>
    <w:p>
      <w:pPr>
        <w:ind w:right="500" w:firstLine="583"/>
        <w:spacing w:after="0" w:line="248" w:lineRule="auto"/>
        <w:rPr>
          <w:sz w:val="20"/>
          <w:szCs w:val="20"/>
          <w:color w:val="auto"/>
        </w:rPr>
      </w:pPr>
      <w:r>
        <w:rPr>
          <w:rFonts w:ascii="Times New Roman" w:cs="Times New Roman" w:eastAsia="Times New Roman" w:hAnsi="Times New Roman"/>
          <w:sz w:val="22"/>
          <w:szCs w:val="22"/>
          <w:color w:val="auto"/>
        </w:rPr>
        <w:t>"Performance Share Award" means an Award entitling the recipient to acquire shares of Stock upon the attainment of specified Performance Goals.</w:t>
      </w:r>
    </w:p>
    <w:p>
      <w:pPr>
        <w:spacing w:after="0" w:line="2" w:lineRule="exact"/>
        <w:rPr>
          <w:sz w:val="20"/>
          <w:szCs w:val="20"/>
          <w:color w:val="auto"/>
        </w:rPr>
      </w:pPr>
    </w:p>
    <w:p>
      <w:pPr>
        <w:ind w:right="20" w:firstLine="583"/>
        <w:spacing w:after="0" w:line="243" w:lineRule="auto"/>
        <w:rPr>
          <w:sz w:val="20"/>
          <w:szCs w:val="20"/>
          <w:color w:val="auto"/>
        </w:rPr>
      </w:pPr>
      <w:r>
        <w:rPr>
          <w:rFonts w:ascii="Times New Roman" w:cs="Times New Roman" w:eastAsia="Times New Roman" w:hAnsi="Times New Roman"/>
          <w:sz w:val="22"/>
          <w:szCs w:val="22"/>
          <w:color w:val="auto"/>
        </w:rPr>
        <w:t>"Restricted Stock Award" means an Award entitling the recipient to acquire, at such purchase price (which may be zero) as determined by the Administrator, shares of Stock subject to such restrictions and conditions as the Administrator may determine at the time of grant.</w:t>
      </w:r>
    </w:p>
    <w:p>
      <w:pPr>
        <w:spacing w:after="0" w:line="1" w:lineRule="exact"/>
        <w:rPr>
          <w:sz w:val="20"/>
          <w:szCs w:val="20"/>
          <w:color w:val="auto"/>
        </w:rPr>
      </w:pPr>
    </w:p>
    <w:p>
      <w:pPr>
        <w:ind w:right="180" w:firstLine="583"/>
        <w:spacing w:after="0" w:line="257" w:lineRule="auto"/>
        <w:rPr>
          <w:sz w:val="20"/>
          <w:szCs w:val="20"/>
          <w:color w:val="auto"/>
        </w:rPr>
      </w:pPr>
      <w:r>
        <w:rPr>
          <w:rFonts w:ascii="Times New Roman" w:cs="Times New Roman" w:eastAsia="Times New Roman" w:hAnsi="Times New Roman"/>
          <w:sz w:val="21"/>
          <w:szCs w:val="21"/>
          <w:color w:val="auto"/>
        </w:rPr>
        <w:t>"Sale Event" shall mean (i) the sale of all or substantially all of the assets of the Company on a consolidated basis to an unrelated person or entity, (ii) a merger, reorganization or consolidation in which the outstanding shares of Stock are converted into or exchanged for securities of the successor entity and the holders of the Company's outstanding voting power immediately prior to such transaction do not own a majority of the outstanding voting power of the successor entity immediately upon completion of such transaction, or (iii) the sale of all of the Stock of the Company to an unrelated person or entity.</w:t>
      </w:r>
    </w:p>
    <w:p>
      <w:pPr>
        <w:spacing w:after="0" w:line="3" w:lineRule="exact"/>
        <w:rPr>
          <w:sz w:val="20"/>
          <w:szCs w:val="20"/>
          <w:color w:val="auto"/>
        </w:rPr>
      </w:pPr>
    </w:p>
    <w:p>
      <w:pPr>
        <w:ind w:right="80" w:firstLine="583"/>
        <w:spacing w:after="0" w:line="249" w:lineRule="auto"/>
        <w:rPr>
          <w:sz w:val="20"/>
          <w:szCs w:val="20"/>
          <w:color w:val="auto"/>
        </w:rPr>
      </w:pPr>
      <w:r>
        <w:rPr>
          <w:rFonts w:ascii="Times New Roman" w:cs="Times New Roman" w:eastAsia="Times New Roman" w:hAnsi="Times New Roman"/>
          <w:sz w:val="22"/>
          <w:szCs w:val="22"/>
          <w:color w:val="auto"/>
        </w:rPr>
        <w:t>"Sale Price" means the value as determined by the Administrator of the consideration payable, or otherwise to be received by shareholders, per share of Stock pursuant to a Sale Event.</w:t>
      </w:r>
    </w:p>
    <w:p>
      <w:pPr>
        <w:spacing w:after="0" w:line="2" w:lineRule="exact"/>
        <w:rPr>
          <w:sz w:val="20"/>
          <w:szCs w:val="20"/>
          <w:color w:val="auto"/>
        </w:rPr>
      </w:pPr>
    </w:p>
    <w:p>
      <w:pPr>
        <w:ind w:left="600" w:right="120"/>
        <w:spacing w:after="0" w:line="254" w:lineRule="auto"/>
        <w:rPr>
          <w:sz w:val="20"/>
          <w:szCs w:val="20"/>
          <w:color w:val="auto"/>
        </w:rPr>
      </w:pPr>
      <w:r>
        <w:rPr>
          <w:rFonts w:ascii="Times New Roman" w:cs="Times New Roman" w:eastAsia="Times New Roman" w:hAnsi="Times New Roman"/>
          <w:sz w:val="21"/>
          <w:szCs w:val="21"/>
          <w:color w:val="auto"/>
        </w:rPr>
        <w:t>"Section 409A" means Section 409A of the Code and the regulations and other guidance promulgated thereunder. "Stock" means the Common Stock, par value $0.01 per share, of the Company, subject to adjustments pursuant to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4" w:lineRule="exact"/>
        <w:rPr>
          <w:sz w:val="20"/>
          <w:szCs w:val="20"/>
          <w:color w:val="auto"/>
        </w:rPr>
      </w:pPr>
    </w:p>
    <w:p>
      <w:pPr>
        <w:ind w:right="200" w:firstLine="583"/>
        <w:spacing w:after="0" w:line="259" w:lineRule="auto"/>
        <w:rPr>
          <w:sz w:val="20"/>
          <w:szCs w:val="20"/>
          <w:color w:val="auto"/>
        </w:rPr>
      </w:pPr>
      <w:r>
        <w:rPr>
          <w:rFonts w:ascii="Times New Roman" w:cs="Times New Roman" w:eastAsia="Times New Roman" w:hAnsi="Times New Roman"/>
          <w:sz w:val="21"/>
          <w:szCs w:val="21"/>
          <w:color w:val="auto"/>
        </w:rPr>
        <w:t>"Stock Appreciation Right" means an Award entitling the recipient to receive shares of Stock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 w:lineRule="exact"/>
        <w:rPr>
          <w:sz w:val="20"/>
          <w:szCs w:val="20"/>
          <w:color w:val="auto"/>
        </w:rPr>
      </w:pPr>
    </w:p>
    <w:p>
      <w:pPr>
        <w:ind w:right="520" w:firstLine="583"/>
        <w:spacing w:after="0" w:line="243" w:lineRule="auto"/>
        <w:rPr>
          <w:sz w:val="20"/>
          <w:szCs w:val="20"/>
          <w:color w:val="auto"/>
        </w:rPr>
      </w:pPr>
      <w:r>
        <w:rPr>
          <w:rFonts w:ascii="Times New Roman" w:cs="Times New Roman" w:eastAsia="Times New Roman" w:hAnsi="Times New Roman"/>
          <w:sz w:val="22"/>
          <w:szCs w:val="22"/>
          <w:color w:val="auto"/>
        </w:rPr>
        <w:t>"Subsidiary" means any corporation or other entity (other than the Company) in which the Company has at least a 50 percent interest, either directly or indirectly.</w:t>
      </w:r>
    </w:p>
    <w:p>
      <w:pPr>
        <w:spacing w:after="0" w:line="1" w:lineRule="exact"/>
        <w:rPr>
          <w:sz w:val="20"/>
          <w:szCs w:val="20"/>
          <w:color w:val="auto"/>
        </w:rPr>
      </w:pPr>
    </w:p>
    <w:p>
      <w:pPr>
        <w:ind w:right="180" w:firstLine="583"/>
        <w:spacing w:after="0" w:line="247" w:lineRule="auto"/>
        <w:rPr>
          <w:sz w:val="20"/>
          <w:szCs w:val="20"/>
          <w:color w:val="auto"/>
        </w:rPr>
      </w:pPr>
      <w:r>
        <w:rPr>
          <w:rFonts w:ascii="Times New Roman" w:cs="Times New Roman" w:eastAsia="Times New Roman" w:hAnsi="Times New Roman"/>
          <w:sz w:val="22"/>
          <w:szCs w:val="22"/>
          <w:color w:val="auto"/>
        </w:rPr>
        <w:t>"Ten Percent Owner" means an employee who owns or is deemed to own (by reason of the attribution rules of Section 424(d) of the Code) more than 10 percent of the combined voting power of all classes of stock of the Company or any parent or subsidiary corporation.</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"Unrestricted Stock Award" means an Award of shares of Stock free of any restrictions.</w:t>
      </w:r>
    </w:p>
    <w:p>
      <w:pPr>
        <w:spacing w:after="0" w:line="88" w:lineRule="exact"/>
        <w:rPr>
          <w:sz w:val="20"/>
          <w:szCs w:val="20"/>
          <w:color w:val="auto"/>
        </w:rPr>
      </w:pPr>
    </w:p>
    <w:p>
      <w:pPr>
        <w:ind w:right="1160"/>
        <w:spacing w:after="0" w:line="26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ADMINISTRATION OF PLAN; ADMINISTRATOR AUTHORITY TO SELECT GRANTEES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DETERMINE AWARDS</w:t>
      </w:r>
    </w:p>
    <w:p>
      <w:pPr>
        <w:spacing w:after="0" w:line="2" w:lineRule="exact"/>
        <w:rPr>
          <w:sz w:val="20"/>
          <w:szCs w:val="20"/>
          <w:color w:val="auto"/>
        </w:rPr>
      </w:pPr>
    </w:p>
    <w:p>
      <w:pPr>
        <w:ind w:firstLine="591"/>
        <w:spacing w:after="0" w:line="250" w:lineRule="auto"/>
        <w:tabs>
          <w:tab w:leader="none" w:pos="12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 In the event the Administrator is the Committee rather than the Board, it is the intention of the Company that the Committee shall consist of "non-employee directors" within the meaning of Rule 16b-3 of the Exchange Act, but the authority and validity of any act taken or not taken by the Committee shall not be affected if any person serving on the Committee does not meet the qualification imposed by this sentence. Except as specifically reserved to the Board under the terms of the Plan or when the Board is serving as Administrator, the Committee shall have full and final authority to operate, manage and administer the Plan on behalf of the Company. Action by the Committee shall require the affirmative vote of a majority of all members thereof.</w:t>
      </w:r>
    </w:p>
    <w:p>
      <w:pPr>
        <w:spacing w:after="0" w:line="1" w:lineRule="exact"/>
        <w:rPr>
          <w:rFonts w:ascii="Times New Roman" w:cs="Times New Roman" w:eastAsia="Times New Roman" w:hAnsi="Times New Roman"/>
          <w:sz w:val="22"/>
          <w:szCs w:val="22"/>
          <w:color w:val="auto"/>
        </w:rPr>
      </w:pPr>
    </w:p>
    <w:p>
      <w:pPr>
        <w:ind w:right="260" w:firstLine="591"/>
        <w:spacing w:after="0" w:line="243" w:lineRule="auto"/>
        <w:tabs>
          <w:tab w:leader="none" w:pos="129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ind w:left="1940" w:hanging="701"/>
        <w:spacing w:after="0"/>
        <w:tabs>
          <w:tab w:leader="none" w:pos="19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individuals to whom Awards may from time to time be granted;</w:t>
      </w:r>
    </w:p>
    <w:p>
      <w:pPr>
        <w:spacing w:after="0" w:line="3" w:lineRule="exact"/>
        <w:rPr>
          <w:rFonts w:ascii="Times New Roman" w:cs="Times New Roman" w:eastAsia="Times New Roman" w:hAnsi="Times New Roman"/>
          <w:sz w:val="22"/>
          <w:szCs w:val="22"/>
          <w:color w:val="auto"/>
        </w:rPr>
      </w:pPr>
    </w:p>
    <w:p>
      <w:pPr>
        <w:ind w:left="660" w:right="80" w:firstLine="579"/>
        <w:spacing w:after="0" w:line="246" w:lineRule="auto"/>
        <w:tabs>
          <w:tab w:leader="none" w:pos="195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time or times of grant, and the extent, if any, of Incentive Stock Options, Non-Qualified Stock Options, Stock Appreciation Rights, Restricted Stock Awards, Deferred Stock Awards, Unrestricted Stock Awards, Cash-Based Awards and Performance Share Awards, Dividend Equivalent Rights or any combination of the foregoing, granted to any one or more grantees;</w:t>
      </w:r>
    </w:p>
    <w:p>
      <w:pPr>
        <w:spacing w:after="0" w:line="2" w:lineRule="exact"/>
        <w:rPr>
          <w:rFonts w:ascii="Times New Roman" w:cs="Times New Roman" w:eastAsia="Times New Roman" w:hAnsi="Times New Roman"/>
          <w:sz w:val="22"/>
          <w:szCs w:val="22"/>
          <w:color w:val="auto"/>
        </w:rPr>
      </w:pPr>
    </w:p>
    <w:p>
      <w:pPr>
        <w:ind w:left="1940" w:hanging="701"/>
        <w:spacing w:after="0"/>
        <w:tabs>
          <w:tab w:leader="none" w:pos="19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of Stock to be covered by any Award;</w:t>
      </w:r>
    </w:p>
    <w:p>
      <w:pPr>
        <w:spacing w:after="0" w:line="3" w:lineRule="exact"/>
        <w:rPr>
          <w:rFonts w:ascii="Times New Roman" w:cs="Times New Roman" w:eastAsia="Times New Roman" w:hAnsi="Times New Roman"/>
          <w:sz w:val="22"/>
          <w:szCs w:val="22"/>
          <w:color w:val="auto"/>
        </w:rPr>
      </w:pPr>
    </w:p>
    <w:p>
      <w:pPr>
        <w:ind w:left="660" w:firstLine="579"/>
        <w:spacing w:after="0" w:line="247" w:lineRule="auto"/>
        <w:tabs>
          <w:tab w:leader="none" w:pos="194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w:t>
      </w:r>
    </w:p>
    <w:p>
      <w:pPr>
        <w:spacing w:after="0" w:line="1" w:lineRule="exact"/>
        <w:rPr>
          <w:rFonts w:ascii="Times New Roman" w:cs="Times New Roman" w:eastAsia="Times New Roman" w:hAnsi="Times New Roman"/>
          <w:sz w:val="22"/>
          <w:szCs w:val="22"/>
          <w:color w:val="auto"/>
        </w:rPr>
      </w:pPr>
    </w:p>
    <w:p>
      <w:pPr>
        <w:ind w:left="660" w:right="840" w:firstLine="579"/>
        <w:spacing w:after="0" w:line="243" w:lineRule="auto"/>
        <w:tabs>
          <w:tab w:leader="none" w:pos="195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accelerate at any time the exercisability and vesting of all or any portion of any Award with the exception of a Restricted Stock Award or Deferred Stock Award other than in the context of a Sale Event;</w:t>
      </w:r>
    </w:p>
    <w:p>
      <w:pPr>
        <w:ind w:left="660" w:right="120" w:firstLine="579"/>
        <w:spacing w:after="0" w:line="244" w:lineRule="auto"/>
        <w:tabs>
          <w:tab w:leader="none" w:pos="194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5(c), to extend at any time the period in which Stock Options or Stock Appreciation Rights may be exercised;</w:t>
      </w:r>
    </w:p>
    <w:p>
      <w:pPr>
        <w:ind w:left="660" w:right="40" w:firstLine="579"/>
        <w:spacing w:after="0" w:line="246" w:lineRule="auto"/>
        <w:tabs>
          <w:tab w:leader="none" w:pos="1952"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reduce the per-share exercise price of any outstanding Stock Option or Stock Appreciation Right awarded to any employee of the Company, including any officer or director of the Company (but not to less than 100% of Fair Market Value on the date the reduction is made); provided, however, that such reduction shall be effective only if approved by the shareholders of the Company; and</w:t>
      </w:r>
    </w:p>
    <w:p>
      <w:pPr>
        <w:ind w:left="660" w:right="60" w:firstLine="579"/>
        <w:spacing w:after="0" w:line="271" w:lineRule="auto"/>
        <w:tabs>
          <w:tab w:leader="none" w:pos="1945"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to adopt, alter and repeal such rules, guidelines and practices for administration of the Plan and for its own acts and proceedings as it shall deem advisable; to interpret the terms and provisions of the Plan and any</w:t>
      </w:r>
    </w:p>
    <w:p>
      <w:pPr>
        <w:sectPr>
          <w:pgSz w:w="11900" w:h="16838" w:orient="portrait"/>
          <w:cols w:equalWidth="0" w:num="1">
            <w:col w:w="11220"/>
          </w:cols>
          <w:pgMar w:left="320" w:top="126" w:right="359" w:bottom="0" w:gutter="0" w:footer="0" w:header="0"/>
        </w:sectPr>
      </w:pPr>
    </w:p>
    <w:bookmarkStart w:id="38" w:name="page39"/>
    <w:bookmarkEnd w:id="38"/>
    <w:p>
      <w:pPr>
        <w:spacing w:after="0" w:line="22" w:lineRule="exact"/>
        <w:rPr>
          <w:sz w:val="20"/>
          <w:szCs w:val="20"/>
          <w:color w:val="auto"/>
        </w:rPr>
      </w:pPr>
    </w:p>
    <w:p>
      <w:pPr>
        <w:jc w:val="both"/>
        <w:ind w:left="600" w:right="100" w:firstLine="65"/>
        <w:spacing w:after="0" w:line="263" w:lineRule="auto"/>
        <w:rPr>
          <w:sz w:val="20"/>
          <w:szCs w:val="20"/>
          <w:color w:val="auto"/>
        </w:rPr>
      </w:pPr>
      <w:r>
        <w:rPr>
          <w:rFonts w:ascii="Times New Roman" w:cs="Times New Roman" w:eastAsia="Times New Roman" w:hAnsi="Times New Roman"/>
          <w:sz w:val="21"/>
          <w:szCs w:val="21"/>
          <w:color w:val="auto"/>
        </w:rPr>
        <w:t>Award (including related written instruments); to make all determinations it deems advisable for the administration of the Plan; to decide all disputes arising in connection with the Plan; and to otherwise supervise the administration of the Plan. All decisions and interpretations of the Administrator shall be binding on all persons, including the Company and Plan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grantees.</w:t>
      </w:r>
    </w:p>
    <w:p>
      <w:pPr>
        <w:spacing w:after="0" w:line="15" w:lineRule="exact"/>
        <w:rPr>
          <w:sz w:val="20"/>
          <w:szCs w:val="20"/>
          <w:color w:val="auto"/>
        </w:rPr>
      </w:pPr>
    </w:p>
    <w:p>
      <w:pPr>
        <w:jc w:val="both"/>
        <w:ind w:right="680" w:firstLine="591"/>
        <w:spacing w:after="0" w:line="243" w:lineRule="auto"/>
        <w:tabs>
          <w:tab w:leader="none" w:pos="129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Document</w:t>
      </w:r>
      <w:r>
        <w:rPr>
          <w:rFonts w:ascii="Times New Roman" w:cs="Times New Roman" w:eastAsia="Times New Roman" w:hAnsi="Times New Roman"/>
          <w:sz w:val="22"/>
          <w:szCs w:val="22"/>
          <w:color w:val="auto"/>
        </w:rPr>
        <w:t>. Awards under the Plan shall be evidenced by Award Documents that set forth the terms, conditions and limitations for each Award which may include, without limitation, the term of an Award and the provisions applicable in the event employment or service terminates.</w:t>
      </w:r>
    </w:p>
    <w:p>
      <w:pPr>
        <w:spacing w:after="0" w:line="1" w:lineRule="exact"/>
        <w:rPr>
          <w:rFonts w:ascii="Times New Roman" w:cs="Times New Roman" w:eastAsia="Times New Roman" w:hAnsi="Times New Roman"/>
          <w:sz w:val="22"/>
          <w:szCs w:val="22"/>
          <w:color w:val="auto"/>
        </w:rPr>
      </w:pPr>
    </w:p>
    <w:p>
      <w:pPr>
        <w:ind w:right="40" w:firstLine="591"/>
        <w:spacing w:after="0" w:line="245" w:lineRule="auto"/>
        <w:tabs>
          <w:tab w:leader="none" w:pos="129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3" w:lineRule="exact"/>
        <w:rPr>
          <w:rFonts w:ascii="Times New Roman" w:cs="Times New Roman" w:eastAsia="Times New Roman" w:hAnsi="Times New Roman"/>
          <w:sz w:val="22"/>
          <w:szCs w:val="22"/>
          <w:color w:val="auto"/>
        </w:rPr>
      </w:pPr>
    </w:p>
    <w:p>
      <w:pPr>
        <w:ind w:right="120" w:firstLine="591"/>
        <w:spacing w:after="0" w:line="257" w:lineRule="auto"/>
        <w:tabs>
          <w:tab w:leader="none" w:pos="129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Award Recipients</w:t>
      </w:r>
      <w:r>
        <w:rPr>
          <w:rFonts w:ascii="Times New Roman" w:cs="Times New Roman" w:eastAsia="Times New Roman" w:hAnsi="Times New Roman"/>
          <w:sz w:val="21"/>
          <w:szCs w:val="21"/>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3" w:lineRule="exact"/>
        <w:rPr>
          <w:rFonts w:ascii="Times New Roman" w:cs="Times New Roman" w:eastAsia="Times New Roman" w:hAnsi="Times New Roman"/>
          <w:sz w:val="21"/>
          <w:szCs w:val="21"/>
          <w:color w:val="auto"/>
        </w:rPr>
      </w:pPr>
    </w:p>
    <w:p>
      <w:pPr>
        <w:ind w:right="120" w:firstLine="8"/>
        <w:spacing w:after="0" w:line="247" w:lineRule="auto"/>
        <w:tabs>
          <w:tab w:leader="none" w:pos="36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STOCK ISSUABLE UNDER THE PLAN; MERGERS; SUBSTITUTION</w:t>
      </w:r>
    </w:p>
    <w:p>
      <w:pPr>
        <w:spacing w:after="0" w:line="58" w:lineRule="exact"/>
        <w:rPr>
          <w:sz w:val="20"/>
          <w:szCs w:val="20"/>
          <w:color w:val="auto"/>
        </w:rPr>
      </w:pPr>
    </w:p>
    <w:p>
      <w:pPr>
        <w:ind w:right="20" w:firstLine="591"/>
        <w:spacing w:after="0" w:line="258" w:lineRule="auto"/>
        <w:tabs>
          <w:tab w:leader="none" w:pos="129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Issuable</w:t>
      </w:r>
      <w:r>
        <w:rPr>
          <w:rFonts w:ascii="Times New Roman" w:cs="Times New Roman" w:eastAsia="Times New Roman" w:hAnsi="Times New Roman"/>
          <w:sz w:val="21"/>
          <w:szCs w:val="21"/>
          <w:color w:val="auto"/>
        </w:rPr>
        <w:t>. The maximum number of shares of Stock (subject to adjustment as provided in Section 3(c) hereof) reserved and available for issuance under the Plan shall be equal to the sum of (i) 33,365,000 , plus (ii) the number of shares of Stock available for grant on the Adoption Date under the Progress Software Corporation 1992 Incentive and Nonqualified Stock Option Plan, the Progress Software Corporation 1994 Stock Incentive Plan and the Progress Software Corporation 1997 Stock Incentive Plan, as amended and restated March 22, 2007 (together, the "Old Stock Plans"), plus (iii) the number of shares of Stock underlying any grants pursuant to the Old Stock Plans that are forfeited, canceled, repurchased or are terminated (other than by exercise) from and after the Adoption Date, plus (iv) the number of shares of Stock underlying any grants pursuant to this Plan that are forfeited, canceled, repurchased or are terminated (other than by exercise). Shares tendered or held back upon exercise of an Option or a Stock Appreciation Right to cover the exercise price or tax withholding shall not be available for future issuance under the Plan. Shares tendered or held back upon settlement of any full value Award (i.e., an Award other than an Option or a Stock Appreciation Right) to cover the purchase price or tax withholding shall be available for future issuance under the Plan. Shares repurchased by the Company on the open market with the proceeds of an Option or Stock Appreciation Right exercise price shall no longer be available for issuance under the Plan. In addition, upon exercise of Stock Appreciation Rights, the gross number of shares exercised shall be deducted from the total number of shares remaining available for issuance under the Plan. Subject to such overall limitations, shares of Stock may be issued up to such maximum number pursuant to any type or types of Award. The maximum number of shares of Stock that may be issued in the form of Incentive Stock Options may not exceed 19,365,000 (subject to adjustment as provided in Section 3(c) hereof). The shares available for issuance under the Plan may be authorized but unissued shares of Stock or shares of Stock reacquired by the Company.</w:t>
      </w:r>
    </w:p>
    <w:p>
      <w:pPr>
        <w:spacing w:after="0" w:line="10" w:lineRule="exact"/>
        <w:rPr>
          <w:rFonts w:ascii="Times New Roman" w:cs="Times New Roman" w:eastAsia="Times New Roman" w:hAnsi="Times New Roman"/>
          <w:sz w:val="21"/>
          <w:szCs w:val="21"/>
          <w:color w:val="auto"/>
        </w:rPr>
      </w:pPr>
    </w:p>
    <w:p>
      <w:pPr>
        <w:ind w:firstLine="591"/>
        <w:spacing w:after="0" w:line="245" w:lineRule="auto"/>
        <w:tabs>
          <w:tab w:leader="none" w:pos="129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Awards</w:t>
      </w:r>
      <w:r>
        <w:rPr>
          <w:rFonts w:ascii="Times New Roman" w:cs="Times New Roman" w:eastAsia="Times New Roman" w:hAnsi="Times New Roman"/>
          <w:sz w:val="22"/>
          <w:szCs w:val="22"/>
          <w:color w:val="auto"/>
        </w:rPr>
        <w:t>. The grant of any full value Award (i.e., an Award other than an Option or a Stock Appreciation Right) made prior to May 9, 2024, shall be deemed, for purposes of determining the number of shares of Stock available for issuance under Section 3(a), as an Award of 2.25 shares of Stock for each such share of Stock subject to the Award; provided, however, any such Award granted on or after May 9, 2024, will be deemed as an Award of 1.5 shares of Stock for each such share of Stock subject to the Award. To the extent</w:t>
      </w:r>
    </w:p>
    <w:p>
      <w:pPr>
        <w:spacing w:after="0" w:line="4" w:lineRule="exact"/>
        <w:rPr>
          <w:rFonts w:ascii="Times New Roman" w:cs="Times New Roman" w:eastAsia="Times New Roman" w:hAnsi="Times New Roman"/>
          <w:sz w:val="22"/>
          <w:szCs w:val="22"/>
          <w:color w:val="auto"/>
        </w:rPr>
      </w:pPr>
    </w:p>
    <w:p>
      <w:pPr>
        <w:ind w:right="10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a share of Stock issuable pursuant to a full value Award under the Plan granted prior to May 9, 2024, and such share of Stock again becomes available for issuance under the Plan pursuant to Section 3(a), then the number of shares of Stock available for issuance under the Plan shall increase by 2.25 shares; provided, however, to the extent there is a share of Stock issuable pursuant to a full value Award under the Plan granted on or after May 9, 2024, and such share of Stock again becomes available for issuance under the Plan pursuant to Section 3(a), then the number of shares of Stock available for issuance under the Plan shall increase by 1.5 shares. The grant of an Option or a Stock Appreciation Right shall be deemed, for purposes of determining the number of shares of Stock available for issuance under Section 3(a), as an Award for one share of Stock for each such share of Stock subject to the Award.</w:t>
      </w:r>
    </w:p>
    <w:p>
      <w:pPr>
        <w:spacing w:after="0" w:line="2" w:lineRule="exact"/>
        <w:rPr>
          <w:rFonts w:ascii="Times New Roman" w:cs="Times New Roman" w:eastAsia="Times New Roman" w:hAnsi="Times New Roman"/>
          <w:sz w:val="22"/>
          <w:szCs w:val="22"/>
          <w:color w:val="auto"/>
        </w:rPr>
      </w:pPr>
    </w:p>
    <w:p>
      <w:pPr>
        <w:ind w:right="300" w:firstLine="591"/>
        <w:spacing w:after="0" w:line="265" w:lineRule="auto"/>
        <w:tabs>
          <w:tab w:leader="none" w:pos="129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Stock</w:t>
      </w:r>
      <w:r>
        <w:rPr>
          <w:rFonts w:ascii="Times New Roman" w:cs="Times New Roman" w:eastAsia="Times New Roman" w:hAnsi="Times New Roman"/>
          <w:sz w:val="21"/>
          <w:szCs w:val="21"/>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w:t>
      </w:r>
    </w:p>
    <w:p>
      <w:pPr>
        <w:sectPr>
          <w:pgSz w:w="11900" w:h="16861" w:orient="portrait"/>
          <w:cols w:equalWidth="0" w:num="1">
            <w:col w:w="11240"/>
          </w:cols>
          <w:pgMar w:left="320" w:top="126" w:right="339" w:bottom="0" w:gutter="0" w:footer="0" w:header="0"/>
        </w:sectPr>
      </w:pPr>
    </w:p>
    <w:bookmarkStart w:id="39" w:name="page40"/>
    <w:bookmarkEnd w:id="39"/>
    <w:p>
      <w:pPr>
        <w:spacing w:after="0" w:line="246" w:lineRule="auto"/>
        <w:rPr>
          <w:sz w:val="20"/>
          <w:szCs w:val="20"/>
          <w:color w:val="auto"/>
        </w:rPr>
      </w:pPr>
      <w:r>
        <w:rPr>
          <w:rFonts w:ascii="Times New Roman" w:cs="Times New Roman" w:eastAsia="Times New Roman" w:hAnsi="Times New Roman"/>
          <w:sz w:val="22"/>
          <w:szCs w:val="22"/>
          <w:color w:val="auto"/>
        </w:rPr>
        <w:t>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 the repurchase price, if any, per share subject to each outstanding Restricted Stock Award, and (iv) the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4" w:lineRule="exact"/>
        <w:rPr>
          <w:sz w:val="20"/>
          <w:szCs w:val="20"/>
          <w:color w:val="auto"/>
        </w:rPr>
      </w:pPr>
    </w:p>
    <w:p>
      <w:pPr>
        <w:ind w:right="20" w:firstLine="591"/>
        <w:spacing w:after="0" w:line="246" w:lineRule="auto"/>
        <w:tabs>
          <w:tab w:leader="none" w:pos="129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Upon the effective time of the Sale Event, the Plan and all outstanding Awards granted hereunder shall terminate, unless provision is made in connection with the Sale Event in the sole discretion of the parties thereto for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(after taking into account any acceleration hereunder). In the event the Awards are not assumed, continued or otherwise substituted in connection with a Sale Event, the Administrator shall accelerate the exercisability and vesting of all outstanding Awards. The Administrator shall have the option to (i) make or provide for a cash payment to the grantees holding Options and Stock Appreciation Rights, in exchange for the cancellation thereof, in an amount equal to the difference between (A) the sale price multiplied by the number of shares of Stock subject to all outstanding Options and Stock Appreciation Rights at exercise prices not in excess of the sale price and (B) the aggregate exercise price of all such outstanding Options and Stock Appreciation Rights; or (ii) permit each grantee, within a specified period of time prior to the consummation of the Sale Event as determined by the Administrator, to exercise all outstanding Options and Stock Appreciation Rights held by such grantee.</w:t>
      </w:r>
    </w:p>
    <w:p>
      <w:pPr>
        <w:spacing w:after="0" w:line="2" w:lineRule="exact"/>
        <w:rPr>
          <w:rFonts w:ascii="Times New Roman" w:cs="Times New Roman" w:eastAsia="Times New Roman" w:hAnsi="Times New Roman"/>
          <w:sz w:val="22"/>
          <w:szCs w:val="22"/>
          <w:color w:val="auto"/>
        </w:rPr>
      </w:pPr>
    </w:p>
    <w:p>
      <w:pPr>
        <w:ind w:right="40" w:firstLine="591"/>
        <w:spacing w:after="0" w:line="245" w:lineRule="auto"/>
        <w:tabs>
          <w:tab w:leader="none" w:pos="129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w:t>
      </w:r>
    </w:p>
    <w:p>
      <w:pPr>
        <w:spacing w:after="0" w:line="4" w:lineRule="exact"/>
        <w:rPr>
          <w:rFonts w:ascii="Times New Roman" w:cs="Times New Roman" w:eastAsia="Times New Roman" w:hAnsi="Times New Roman"/>
          <w:sz w:val="22"/>
          <w:szCs w:val="22"/>
          <w:color w:val="auto"/>
        </w:rPr>
      </w:pPr>
    </w:p>
    <w:p>
      <w:pPr>
        <w:ind w:right="24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 considers appropriate in the circumstances. Any substitute Awards granted under the Plan shall not count against the share limitation set forth in Section 3(a).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ELIGIBILITY</w:t>
      </w:r>
    </w:p>
    <w:p>
      <w:pPr>
        <w:spacing w:after="0" w:line="71"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22"/>
          <w:szCs w:val="22"/>
          <w:color w:val="auto"/>
        </w:rPr>
        <w:t>Grantees under the Plan will be such officers and other employees, Non-Employee Directors and key persons (including consultants and prospective employees) of the Company and its Subsidiaries as are selected from time to time by the Administrator in its sole discretion.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STOCK OPTIONS</w:t>
      </w:r>
    </w:p>
    <w:p>
      <w:pPr>
        <w:spacing w:after="0" w:line="58" w:lineRule="exact"/>
        <w:rPr>
          <w:sz w:val="20"/>
          <w:szCs w:val="20"/>
          <w:color w:val="auto"/>
        </w:rPr>
      </w:pPr>
    </w:p>
    <w:p>
      <w:pPr>
        <w:ind w:right="140" w:firstLine="591"/>
        <w:spacing w:after="0" w:line="261" w:lineRule="auto"/>
        <w:tabs>
          <w:tab w:leader="none" w:pos="129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Options</w:t>
      </w:r>
      <w:r>
        <w:rPr>
          <w:rFonts w:ascii="Times New Roman" w:cs="Times New Roman" w:eastAsia="Times New Roman" w:hAnsi="Times New Roman"/>
          <w:sz w:val="22"/>
          <w:szCs w:val="22"/>
          <w:color w:val="auto"/>
        </w:rPr>
        <w:t>. Any Stock Option granted under the Plan shall be in such form as the Administrator may from time to time approve.</w:t>
      </w:r>
    </w:p>
    <w:p>
      <w:pPr>
        <w:ind w:right="140" w:firstLine="583"/>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 w:lineRule="exact"/>
        <w:rPr>
          <w:rFonts w:ascii="Times New Roman" w:cs="Times New Roman" w:eastAsia="Times New Roman" w:hAnsi="Times New Roman"/>
          <w:sz w:val="22"/>
          <w:szCs w:val="22"/>
          <w:color w:val="auto"/>
        </w:rPr>
      </w:pPr>
    </w:p>
    <w:p>
      <w:pPr>
        <w:ind w:right="280" w:firstLine="583"/>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Stock Options granted pursuant to this Section 5 shall be subject to the following terms and conditions and shall contain such additional terms and conditions, not inconsistent with the terms of the Plan, as the Administrator shall deem desirable.</w:t>
      </w:r>
    </w:p>
    <w:p>
      <w:pPr>
        <w:spacing w:after="0" w:line="1" w:lineRule="exact"/>
        <w:rPr>
          <w:rFonts w:ascii="Times New Roman" w:cs="Times New Roman" w:eastAsia="Times New Roman" w:hAnsi="Times New Roman"/>
          <w:sz w:val="22"/>
          <w:szCs w:val="22"/>
          <w:color w:val="auto"/>
        </w:rPr>
      </w:pPr>
    </w:p>
    <w:p>
      <w:pPr>
        <w:ind w:right="240" w:firstLine="591"/>
        <w:spacing w:after="0" w:line="243" w:lineRule="auto"/>
        <w:tabs>
          <w:tab w:leader="none" w:pos="12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3" w:lineRule="exact"/>
        <w:rPr>
          <w:rFonts w:ascii="Times New Roman" w:cs="Times New Roman" w:eastAsia="Times New Roman" w:hAnsi="Times New Roman"/>
          <w:sz w:val="22"/>
          <w:szCs w:val="22"/>
          <w:color w:val="auto"/>
        </w:rPr>
      </w:pPr>
    </w:p>
    <w:p>
      <w:pPr>
        <w:ind w:right="60" w:firstLine="591"/>
        <w:spacing w:after="0" w:line="246" w:lineRule="auto"/>
        <w:tabs>
          <w:tab w:leader="none" w:pos="129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3" w:lineRule="exact"/>
        <w:rPr>
          <w:rFonts w:ascii="Times New Roman" w:cs="Times New Roman" w:eastAsia="Times New Roman" w:hAnsi="Times New Roman"/>
          <w:sz w:val="22"/>
          <w:szCs w:val="22"/>
          <w:color w:val="auto"/>
        </w:rPr>
      </w:pPr>
    </w:p>
    <w:p>
      <w:pPr>
        <w:ind w:right="140" w:firstLine="591"/>
        <w:spacing w:after="0" w:line="246" w:lineRule="auto"/>
        <w:tabs>
          <w:tab w:leader="none" w:pos="12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 Rights of a Shareholder</w:t>
      </w:r>
      <w:r>
        <w:rPr>
          <w:rFonts w:ascii="Times New Roman" w:cs="Times New Roman" w:eastAsia="Times New Roman" w:hAnsi="Times New Roman"/>
          <w:sz w:val="22"/>
          <w:szCs w:val="22"/>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2" w:lineRule="exact"/>
        <w:rPr>
          <w:rFonts w:ascii="Times New Roman" w:cs="Times New Roman" w:eastAsia="Times New Roman" w:hAnsi="Times New Roman"/>
          <w:sz w:val="22"/>
          <w:szCs w:val="22"/>
          <w:color w:val="auto"/>
        </w:rPr>
      </w:pPr>
    </w:p>
    <w:p>
      <w:pPr>
        <w:ind w:right="20" w:firstLine="591"/>
        <w:spacing w:after="0" w:line="243" w:lineRule="auto"/>
        <w:tabs>
          <w:tab w:leader="none" w:pos="129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to the extent provided in the Option Award Document:</w:t>
      </w:r>
    </w:p>
    <w:p>
      <w:pPr>
        <w:spacing w:after="0" w:line="1" w:lineRule="exact"/>
        <w:rPr>
          <w:rFonts w:ascii="Times New Roman" w:cs="Times New Roman" w:eastAsia="Times New Roman" w:hAnsi="Times New Roman"/>
          <w:sz w:val="22"/>
          <w:szCs w:val="22"/>
          <w:color w:val="auto"/>
        </w:rPr>
      </w:pPr>
    </w:p>
    <w:p>
      <w:pPr>
        <w:ind w:left="1940" w:hanging="701"/>
        <w:spacing w:after="0"/>
        <w:tabs>
          <w:tab w:leader="none" w:pos="194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by certified or bank check or other instrument acceptable to the Administrator;</w:t>
      </w:r>
    </w:p>
    <w:p>
      <w:pPr>
        <w:sectPr>
          <w:pgSz w:w="11900" w:h="16838" w:orient="portrait"/>
          <w:cols w:equalWidth="0" w:num="1">
            <w:col w:w="11240"/>
          </w:cols>
          <w:pgMar w:left="320" w:top="126" w:right="339" w:bottom="0" w:gutter="0" w:footer="0" w:header="0"/>
        </w:sectPr>
      </w:pPr>
    </w:p>
    <w:bookmarkStart w:id="40" w:name="page41"/>
    <w:bookmarkEnd w:id="40"/>
    <w:p>
      <w:pPr>
        <w:ind w:left="660" w:right="80" w:firstLine="579"/>
        <w:spacing w:after="0" w:line="252" w:lineRule="auto"/>
        <w:tabs>
          <w:tab w:leader="none" w:pos="19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delivery (or attestation to the ownership) of shares of Stock that have been purchased by the optionee on the open market or that have been beneficially owned by the optionee for at least six months and are not then subject to restrictions under any Company plan. Such surrendered shares shall be valued at Fair Market Value on the exercise date;</w:t>
      </w:r>
    </w:p>
    <w:p>
      <w:pPr>
        <w:ind w:left="660" w:right="340" w:firstLine="579"/>
        <w:spacing w:after="0" w:line="243" w:lineRule="auto"/>
        <w:tabs>
          <w:tab w:leader="none" w:pos="194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reducing the number of shares otherwise issuable to optionee upon the exercise of the Stock Option by the largest whole number of shares having a Fair Market Value that does not exceed the aggregate purchase price for the shares for which the Stock Option is exercised, and optionee paying to the Company in cash the remaining balance of the aggregate Exercise Price;</w:t>
      </w:r>
    </w:p>
    <w:p>
      <w:pPr>
        <w:spacing w:after="0" w:line="3" w:lineRule="exact"/>
        <w:rPr>
          <w:rFonts w:ascii="Times New Roman" w:cs="Times New Roman" w:eastAsia="Times New Roman" w:hAnsi="Times New Roman"/>
          <w:sz w:val="22"/>
          <w:szCs w:val="22"/>
          <w:color w:val="auto"/>
        </w:rPr>
      </w:pPr>
    </w:p>
    <w:p>
      <w:pPr>
        <w:ind w:left="1940" w:hanging="701"/>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combination of (i), (ii), and (iii); or</w:t>
      </w:r>
    </w:p>
    <w:p>
      <w:pPr>
        <w:spacing w:after="0" w:line="15" w:lineRule="exact"/>
        <w:rPr>
          <w:rFonts w:ascii="Times New Roman" w:cs="Times New Roman" w:eastAsia="Times New Roman" w:hAnsi="Times New Roman"/>
          <w:sz w:val="22"/>
          <w:szCs w:val="22"/>
          <w:color w:val="auto"/>
        </w:rPr>
      </w:pPr>
    </w:p>
    <w:p>
      <w:pPr>
        <w:jc w:val="both"/>
        <w:ind w:left="660" w:right="140" w:firstLine="579"/>
        <w:spacing w:after="0" w:line="243" w:lineRule="auto"/>
        <w:tabs>
          <w:tab w:leader="none" w:pos="19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w:t>
      </w:r>
    </w:p>
    <w:p>
      <w:pPr>
        <w:spacing w:after="0" w:line="1" w:lineRule="exact"/>
        <w:rPr>
          <w:rFonts w:ascii="Times New Roman" w:cs="Times New Roman" w:eastAsia="Times New Roman" w:hAnsi="Times New Roman"/>
          <w:sz w:val="22"/>
          <w:szCs w:val="22"/>
          <w:color w:val="auto"/>
        </w:rPr>
      </w:pPr>
    </w:p>
    <w:p>
      <w:pPr>
        <w:ind w:left="660" w:right="20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enter into such agreements of indemnity and other agreements as the Administrator shall prescribe as a condition of such payment procedure.</w:t>
      </w:r>
    </w:p>
    <w:p>
      <w:pPr>
        <w:spacing w:after="0" w:line="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Document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6" w:lineRule="exact"/>
        <w:rPr>
          <w:sz w:val="20"/>
          <w:szCs w:val="20"/>
          <w:color w:val="auto"/>
        </w:rPr>
      </w:pPr>
    </w:p>
    <w:p>
      <w:pPr>
        <w:ind w:right="80" w:firstLine="591"/>
        <w:spacing w:after="0" w:line="244" w:lineRule="auto"/>
        <w:tabs>
          <w:tab w:leader="none" w:pos="128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STOCK APPRECIATION RIGHTS</w:t>
      </w:r>
    </w:p>
    <w:p>
      <w:pPr>
        <w:spacing w:after="0" w:line="58" w:lineRule="exact"/>
        <w:rPr>
          <w:sz w:val="20"/>
          <w:szCs w:val="20"/>
          <w:color w:val="auto"/>
        </w:rPr>
      </w:pPr>
    </w:p>
    <w:p>
      <w:pPr>
        <w:ind w:right="260" w:firstLine="591"/>
        <w:spacing w:after="0" w:line="262" w:lineRule="auto"/>
        <w:tabs>
          <w:tab w:leader="none" w:pos="1295"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Stock Appreciation Rights</w:t>
      </w:r>
      <w:r>
        <w:rPr>
          <w:rFonts w:ascii="Times New Roman" w:cs="Times New Roman" w:eastAsia="Times New Roman" w:hAnsi="Times New Roman"/>
          <w:sz w:val="21"/>
          <w:szCs w:val="21"/>
          <w:color w:val="auto"/>
        </w:rPr>
        <w:t>. The Administrator in its discretion may grant Stock Appreciation Rights to any grantee (i) alone, (ii) simultaneously with the grant of a Stock Option and in conjunction therewith or in the alternative thereto or (iii) subsequent to the grant of a Non-Qualified option and in conjunction therewith or in the alternative thereto.</w:t>
      </w:r>
    </w:p>
    <w:p>
      <w:pPr>
        <w:spacing w:after="0" w:line="2" w:lineRule="exact"/>
        <w:rPr>
          <w:rFonts w:ascii="Times New Roman" w:cs="Times New Roman" w:eastAsia="Times New Roman" w:hAnsi="Times New Roman"/>
          <w:sz w:val="21"/>
          <w:szCs w:val="21"/>
          <w:color w:val="auto"/>
        </w:rPr>
      </w:pPr>
    </w:p>
    <w:p>
      <w:pPr>
        <w:ind w:right="40" w:firstLine="591"/>
        <w:spacing w:after="0" w:line="247" w:lineRule="auto"/>
        <w:tabs>
          <w:tab w:leader="none" w:pos="129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 of Stock Appreciation Rights</w:t>
      </w:r>
      <w:r>
        <w:rPr>
          <w:rFonts w:ascii="Times New Roman" w:cs="Times New Roman" w:eastAsia="Times New Roman" w:hAnsi="Times New Roman"/>
          <w:sz w:val="22"/>
          <w:szCs w:val="22"/>
          <w:color w:val="auto"/>
        </w:rPr>
        <w:t>. The exercise price per share of a Stock Appreciation Right granted alone shall be determined by the Administrator, but shall not be less than 100% of Fair Market Value on the date of grant of such Stock Appreciation Right. A Stock Appreciation Right granted simultaneously with or subsequent to the grant of a Stock Option and in conjunction therewith or in the alternative thereto shall have the same exercise price as the related Stock Option, shall be transferable only upon the same terms and conditions as the related Stock Option and shall be exercisable only to the same extent as the related Stock Option; provided, however, that a Stock Appreciation Right, by its terms, shall be exercisable only when the Fair Market Value per share of Stock exceeds the exercise price per share thereof.</w:t>
      </w:r>
    </w:p>
    <w:p>
      <w:pPr>
        <w:ind w:right="60" w:firstLine="591"/>
        <w:spacing w:after="0" w:line="245" w:lineRule="auto"/>
        <w:tabs>
          <w:tab w:leader="none" w:pos="129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Upon any exercise of a Stock Appreciation Right, the number of shares of Stock for which any related Stock Option shall be exercisable shall be reduced by the number of shares for which the Stock Appreciation Right shall have been exercised. The number of shares of Stock with respect to which a Stock Appreciation Right shall be exercisable shall be reduced upon any exercise of any related Stock Option by the number of shares for which such Option shall have been exercised. Any Stock Appreciation Right shall be exercisable upon such additional terms and conditions as may from time to time be prescribed by the Administrator.</w:t>
      </w:r>
    </w:p>
    <w:p>
      <w:pPr>
        <w:spacing w:after="0" w:line="3" w:lineRule="exact"/>
        <w:rPr>
          <w:rFonts w:ascii="Times New Roman" w:cs="Times New Roman" w:eastAsia="Times New Roman" w:hAnsi="Times New Roman"/>
          <w:sz w:val="22"/>
          <w:szCs w:val="22"/>
          <w:color w:val="auto"/>
        </w:rPr>
      </w:pPr>
    </w:p>
    <w:p>
      <w:pPr>
        <w:ind w:right="20" w:firstLine="591"/>
        <w:spacing w:after="0" w:line="257" w:lineRule="auto"/>
        <w:tabs>
          <w:tab w:leader="none" w:pos="1294"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in Shares</w:t>
      </w:r>
      <w:r>
        <w:rPr>
          <w:rFonts w:ascii="Times New Roman" w:cs="Times New Roman" w:eastAsia="Times New Roman" w:hAnsi="Times New Roman"/>
          <w:sz w:val="21"/>
          <w:szCs w:val="21"/>
          <w:color w:val="auto"/>
        </w:rPr>
        <w:t>. A Stock Appreciation Right shall entitle the grantee upon exercise thereof to receive from the Company, upon written request to the Company at its principal offices (the "Request"), a number of shares of Stock (with or without restrictions as to substantial risk of forfeiture and transferability, as determined by the Administrator in its sole discretion), having an aggregate Fair Market Value equal to the product of (i) the excess of Fair Market Value, on the date of such Request, over the exercise price per share of Stock specified in such Stock Appreciation Right or its related Option, multiplied by</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Stock for which such Stock Appreciation Right shall be exercised.</w:t>
      </w:r>
    </w:p>
    <w:p>
      <w:pPr>
        <w:spacing w:after="0" w:line="3" w:lineRule="exact"/>
        <w:rPr>
          <w:rFonts w:ascii="Times New Roman" w:cs="Times New Roman" w:eastAsia="Times New Roman" w:hAnsi="Times New Roman"/>
          <w:sz w:val="22"/>
          <w:szCs w:val="22"/>
          <w:color w:val="auto"/>
        </w:rPr>
      </w:pPr>
    </w:p>
    <w:p>
      <w:pPr>
        <w:ind w:right="420" w:firstLine="591"/>
        <w:spacing w:after="0" w:line="243" w:lineRule="auto"/>
        <w:tabs>
          <w:tab w:leader="none" w:pos="129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Exercise</w:t>
      </w:r>
      <w:r>
        <w:rPr>
          <w:rFonts w:ascii="Times New Roman" w:cs="Times New Roman" w:eastAsia="Times New Roman" w:hAnsi="Times New Roman"/>
          <w:sz w:val="22"/>
          <w:szCs w:val="22"/>
          <w:color w:val="auto"/>
        </w:rPr>
        <w:t>. A Stock Appreciation Right shall be deemed exercised on the last day of its term, if not otherwise exercised by the holder thereof, provided that the Fair Market Value of the Stock subject to the Stock Appreciation Right exceeds the exercise price thereof on such date.</w:t>
      </w:r>
    </w:p>
    <w:p>
      <w:pPr>
        <w:spacing w:after="0" w:line="3" w:lineRule="exact"/>
        <w:rPr>
          <w:rFonts w:ascii="Times New Roman" w:cs="Times New Roman" w:eastAsia="Times New Roman" w:hAnsi="Times New Roman"/>
          <w:sz w:val="22"/>
          <w:szCs w:val="22"/>
          <w:color w:val="auto"/>
        </w:rPr>
      </w:pPr>
    </w:p>
    <w:p>
      <w:pPr>
        <w:ind w:left="1300" w:hanging="709"/>
        <w:spacing w:after="0"/>
        <w:tabs>
          <w:tab w:leader="none" w:pos="13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a Stock Appreciation Right shall not exceed seven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RESTRICTED STOCK AWARDS</w:t>
      </w:r>
    </w:p>
    <w:p>
      <w:pPr>
        <w:spacing w:after="0" w:line="58" w:lineRule="exact"/>
        <w:rPr>
          <w:sz w:val="20"/>
          <w:szCs w:val="20"/>
          <w:color w:val="auto"/>
        </w:rPr>
      </w:pPr>
    </w:p>
    <w:p>
      <w:pPr>
        <w:ind w:firstLine="591"/>
        <w:spacing w:after="0" w:line="252" w:lineRule="auto"/>
        <w:tabs>
          <w:tab w:leader="none" w:pos="129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Awards</w:t>
      </w:r>
      <w:r>
        <w:rPr>
          <w:rFonts w:ascii="Times New Roman" w:cs="Times New Roman" w:eastAsia="Times New Roman" w:hAnsi="Times New Roman"/>
          <w:sz w:val="22"/>
          <w:szCs w:val="22"/>
          <w:color w:val="auto"/>
        </w:rPr>
        <w:t>. The Administrator shall determine the restrictions and conditions applicable to each Restricted Stock Award at the time of grant. Conditions may be based on continuing employment (or other service relationship) and/or achievement of pre-established performance goals and objectives. The grant of a Restricted Stock Award is contingent on the grantee executing the Restricted Stock Award Document. The terms and conditions of each such Award</w:t>
      </w:r>
    </w:p>
    <w:p>
      <w:pPr>
        <w:sectPr>
          <w:pgSz w:w="11900" w:h="16838" w:orient="portrait"/>
          <w:cols w:equalWidth="0" w:num="1">
            <w:col w:w="11220"/>
          </w:cols>
          <w:pgMar w:left="320" w:top="126" w:right="359" w:bottom="0" w:gutter="0" w:footer="0" w:header="0"/>
        </w:sectPr>
      </w:pPr>
    </w:p>
    <w:bookmarkStart w:id="41" w:name="page42"/>
    <w:bookmarkEnd w:id="41"/>
    <w:p>
      <w:pPr>
        <w:spacing w:after="0" w:line="6"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2"/>
          <w:szCs w:val="22"/>
          <w:color w:val="auto"/>
        </w:rPr>
        <w:t>Document shall be determined by the Administrator, and such terms and conditions may differ among individual Awards and grantees.</w:t>
      </w:r>
    </w:p>
    <w:p>
      <w:pPr>
        <w:spacing w:after="0" w:line="2" w:lineRule="exact"/>
        <w:rPr>
          <w:sz w:val="20"/>
          <w:szCs w:val="20"/>
          <w:color w:val="auto"/>
        </w:rPr>
      </w:pPr>
    </w:p>
    <w:p>
      <w:pPr>
        <w:ind w:right="100" w:firstLine="591"/>
        <w:spacing w:after="0" w:line="246" w:lineRule="auto"/>
        <w:tabs>
          <w:tab w:leader="none" w:pos="1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Upon execution of the Restricted Stock Award Document and payment of any applicable purchase price, a grantee shall have the rights of a shareholder with respect to the voting of the Restricted Stock, subject to such conditions contained in the Restricted Stock Award Document. Unless the Administrator shall otherwise determine, (i) uncertificated Restricted Stock shall be accompanied by a notation on the records of the Company or the transfer agent to the effect that they are subject to forfeiture until such Restricted Stock are vested as provided in Section 7(d) below, and (ii) certificated Restricted Stock shall remain in the possession of the Company until such Restricted Stock is vested as provided in Section 7(d) below, and the grantee shall be required, as a condition of the grant, to deliver to the Company such instruments of transfer as the Administrator may prescribe.</w:t>
      </w:r>
    </w:p>
    <w:p>
      <w:pPr>
        <w:spacing w:after="0" w:line="4" w:lineRule="exact"/>
        <w:rPr>
          <w:rFonts w:ascii="Times New Roman" w:cs="Times New Roman" w:eastAsia="Times New Roman" w:hAnsi="Times New Roman"/>
          <w:sz w:val="22"/>
          <w:szCs w:val="22"/>
          <w:color w:val="auto"/>
        </w:rPr>
      </w:pPr>
    </w:p>
    <w:p>
      <w:pPr>
        <w:ind w:firstLine="591"/>
        <w:spacing w:after="0" w:line="245" w:lineRule="auto"/>
        <w:tabs>
          <w:tab w:leader="none" w:pos="129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Restricted Stock may not be sold, assigned, transferred, pledged or otherwise encumbered or disposed of except as specifically provided herein or in the Restricted Stock Award Document. Except as may otherwise be provided by the Administrator either in the Award Document or, subject to Section 18 below, in writing after the Award Document is issued if a grantee's employment (or other service relationship) with the Company and its Subsidiaries terminates for any reason, any Restricted Stock that has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unvested Restricted Stock that are represented by physical certificates, a grantee shall surrender such certificates to the Company upon request without consideration.</w:t>
      </w:r>
    </w:p>
    <w:p>
      <w:pPr>
        <w:spacing w:after="0" w:line="7" w:lineRule="exact"/>
        <w:rPr>
          <w:rFonts w:ascii="Times New Roman" w:cs="Times New Roman" w:eastAsia="Times New Roman" w:hAnsi="Times New Roman"/>
          <w:sz w:val="22"/>
          <w:szCs w:val="22"/>
          <w:color w:val="auto"/>
        </w:rPr>
      </w:pPr>
    </w:p>
    <w:p>
      <w:pPr>
        <w:ind w:right="100" w:firstLine="591"/>
        <w:spacing w:after="0" w:line="245" w:lineRule="auto"/>
        <w:tabs>
          <w:tab w:leader="none" w:pos="129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w:t>
      </w:r>
      <w:r>
        <w:rPr>
          <w:rFonts w:ascii="Times New Roman" w:cs="Times New Roman" w:eastAsia="Times New Roman" w:hAnsi="Times New Roman"/>
          <w:sz w:val="22"/>
          <w:szCs w:val="22"/>
          <w:color w:val="auto"/>
        </w:rPr>
        <w:t>. The Administrator at the time of grant shall specify the date or dates and/or the attainment of pre-established performance goals, objectives and other conditions on which the non-transferability of the Restricted Stock and the Company's right of repurchase or forfeiture shall lapse. Notwithstanding the foregoing, in the event that any such Restricted Stock granted to employees shall have a performance-based goal, the restriction period with respect to such shares shall not be less than one year, and in the event any such Restricted Stock granted to employees shall have a time-based restriction, the total restriction period with respect to such shares shall not be less than three years; provided, however, that Restricted Stock with a time-based restriction may become vested incrementally over such three-year period.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Document or, subject to Section 18 below, in writing after the Award Document is issued,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DEFERRED STOCK AWARDS</w:t>
      </w:r>
    </w:p>
    <w:p>
      <w:pPr>
        <w:spacing w:after="0" w:line="71" w:lineRule="exact"/>
        <w:rPr>
          <w:sz w:val="20"/>
          <w:szCs w:val="20"/>
          <w:color w:val="auto"/>
        </w:rPr>
      </w:pPr>
    </w:p>
    <w:p>
      <w:pPr>
        <w:ind w:right="120" w:firstLine="591"/>
        <w:spacing w:after="0" w:line="247" w:lineRule="auto"/>
        <w:tabs>
          <w:tab w:leader="none" w:pos="12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Deferred Stock Awards</w:t>
      </w:r>
      <w:r>
        <w:rPr>
          <w:rFonts w:ascii="Times New Roman" w:cs="Times New Roman" w:eastAsia="Times New Roman" w:hAnsi="Times New Roman"/>
          <w:sz w:val="22"/>
          <w:szCs w:val="22"/>
          <w:color w:val="auto"/>
        </w:rPr>
        <w:t>. The Administrator shall determine the restrictions and conditions applicable to each Deferred Stock Award at the time of grant. Conditions may be based on continuing employment (or other service relationship) and/or achievement of pre-established performance goals and objectives. The grant of a Deferred Stock Award is contingent on the grantee executing the Deferred Stock Award Document. The terms and conditions of each such Award Document shall be determined by the Administrator, and such terms and conditions may differ among individual Awards and grantees. Notwithstanding the foregoing, in the event that any such Deferred Stock Award granted to employees shall have a performance-based goal, the restriction period with respect to such Award shall not be less than one year, and in the event any such Deferred Stock Award granted to employees shall have a time-based restriction, the total restriction period with respect to such Award shall not be less than one year; provided, however, that any Deferred Stock Award with a time-based restriction may become vested incrementally over the vesting period. At the end of the deferral period, the Deferred Stock Award, to the extent vested, shall be settled in the form of shares of Stock. To the extent that a Deferred Stock Award is subject to Section 409A, it may contain such additional terms and conditions as the Administrator shall determine in its sole discretion in order for such Award to comply with the requirements of Section 409A.</w:t>
      </w:r>
    </w:p>
    <w:p>
      <w:pPr>
        <w:ind w:firstLine="591"/>
        <w:spacing w:after="0" w:line="246" w:lineRule="auto"/>
        <w:tabs>
          <w:tab w:leader="none" w:pos="129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to Receive Deferred Stock Awards in Lieu of Compensation</w:t>
      </w:r>
      <w:r>
        <w:rPr>
          <w:rFonts w:ascii="Times New Roman" w:cs="Times New Roman" w:eastAsia="Times New Roman" w:hAnsi="Times New Roman"/>
          <w:sz w:val="22"/>
          <w:szCs w:val="22"/>
          <w:color w:val="auto"/>
        </w:rPr>
        <w:t>. The Administrator may, in its sole discretion, permit a grantee to elect to receive a portion of future cash compensation otherwise due to such grantee in the form of a Deferred Stock Award.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phantom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w:t>
      </w:r>
    </w:p>
    <w:p>
      <w:pPr>
        <w:spacing w:after="0" w:line="1" w:lineRule="exact"/>
        <w:rPr>
          <w:rFonts w:ascii="Times New Roman" w:cs="Times New Roman" w:eastAsia="Times New Roman" w:hAnsi="Times New Roman"/>
          <w:sz w:val="22"/>
          <w:szCs w:val="22"/>
          <w:color w:val="auto"/>
        </w:rPr>
      </w:pPr>
    </w:p>
    <w:p>
      <w:pPr>
        <w:ind w:right="60" w:firstLine="591"/>
        <w:spacing w:after="0" w:line="243" w:lineRule="auto"/>
        <w:tabs>
          <w:tab w:leader="none" w:pos="12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A grantee shall have the rights as a shareholder only as to shares of Stock acquired by the grantee upon settlement of a Deferred Stock Award.</w:t>
      </w:r>
    </w:p>
    <w:p>
      <w:pPr>
        <w:ind w:right="80" w:firstLine="591"/>
        <w:spacing w:after="0" w:line="249" w:lineRule="auto"/>
        <w:tabs>
          <w:tab w:leader="none" w:pos="129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Document or, subject to Section 18 below, in writing after the Award Document is issued, a grantee's right in all Deferred Stock Awards that have not vested shall automatically terminate upon the grantee's termination of employment (or cessation of service relationship) with the Company and its Subsidiaries for any reason.</w:t>
      </w:r>
    </w:p>
    <w:p>
      <w:pPr>
        <w:sectPr>
          <w:pgSz w:w="11900" w:h="16844" w:orient="portrait"/>
          <w:cols w:equalWidth="0" w:num="1">
            <w:col w:w="11240"/>
          </w:cols>
          <w:pgMar w:left="320" w:top="126" w:right="339" w:bottom="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UNRESTRICTED STOCK AWARDS</w:t>
      </w:r>
    </w:p>
    <w:p>
      <w:pPr>
        <w:spacing w:after="0" w:line="58" w:lineRule="exact"/>
        <w:rPr>
          <w:sz w:val="20"/>
          <w:szCs w:val="20"/>
          <w:color w:val="auto"/>
        </w:rPr>
      </w:pPr>
    </w:p>
    <w:p>
      <w:pPr>
        <w:jc w:val="both"/>
        <w:ind w:right="380" w:firstLine="591"/>
        <w:spacing w:after="0" w:line="252" w:lineRule="auto"/>
        <w:tabs>
          <w:tab w:leader="none" w:pos="129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or Sale of Unrestricted Stock</w:t>
      </w:r>
      <w:r>
        <w:rPr>
          <w:rFonts w:ascii="Times New Roman" w:cs="Times New Roman" w:eastAsia="Times New Roman" w:hAnsi="Times New Roman"/>
          <w:sz w:val="22"/>
          <w:szCs w:val="22"/>
          <w:color w:val="auto"/>
        </w:rPr>
        <w:t>. The Administrator may, in its sole discretion,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ind w:right="380" w:firstLine="591"/>
        <w:spacing w:after="0" w:line="262" w:lineRule="auto"/>
        <w:tabs>
          <w:tab w:leader="none" w:pos="129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Elections to Receive Unrestricted Stock In Lieu of Compensation</w:t>
      </w:r>
      <w:r>
        <w:rPr>
          <w:rFonts w:ascii="Times New Roman" w:cs="Times New Roman" w:eastAsia="Times New Roman" w:hAnsi="Times New Roman"/>
          <w:sz w:val="21"/>
          <w:szCs w:val="21"/>
          <w:color w:val="auto"/>
        </w:rPr>
        <w:t>. Upon the request of a grantee and with the consent of the Administrator, each grantee may, pursuant to an irrevocable written election delivered to the Company no later than the date or dates specified by the Administrator, receive a portion of the cash compensation otherwise due to him in Unrestricted Stock (valued at Fair Market Value on the date or dates the cash compensation would otherwise be paid). Such Unrestricted Stock shall be paid to the grantee at the same time as the cash compensation would otherwise be paid.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CASH-BASED AWARDS</w:t>
      </w:r>
    </w:p>
    <w:p>
      <w:pPr>
        <w:spacing w:after="0" w:line="58"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PERFORMANCE SHARE AWARDS</w:t>
      </w:r>
    </w:p>
    <w:p>
      <w:pPr>
        <w:spacing w:after="0" w:line="58" w:lineRule="exact"/>
        <w:rPr>
          <w:sz w:val="20"/>
          <w:szCs w:val="20"/>
          <w:color w:val="auto"/>
        </w:rPr>
      </w:pPr>
    </w:p>
    <w:p>
      <w:pPr>
        <w:ind w:firstLine="591"/>
        <w:spacing w:after="0" w:line="250" w:lineRule="auto"/>
        <w:tabs>
          <w:tab w:leader="none" w:pos="12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Performance Share Awards</w:t>
      </w:r>
      <w:r>
        <w:rPr>
          <w:rFonts w:ascii="Times New Roman" w:cs="Times New Roman" w:eastAsia="Times New Roman" w:hAnsi="Times New Roman"/>
          <w:sz w:val="22"/>
          <w:szCs w:val="22"/>
          <w:color w:val="auto"/>
        </w:rPr>
        <w:t>. The Administrator may, in its sole discretion, grant Performance Share Awards independent of, or in connection with, the granting of any other Award under the Plan. The Administrator shall determine whether and to whom Performance Share Awards shall be granted, the Performance Goals, the periods during which performance is to be measured, which may not be less than one year, and such other limitations and conditions as the Administrator shall determine.</w:t>
      </w:r>
    </w:p>
    <w:p>
      <w:pPr>
        <w:spacing w:after="0" w:line="2" w:lineRule="exact"/>
        <w:rPr>
          <w:rFonts w:ascii="Times New Roman" w:cs="Times New Roman" w:eastAsia="Times New Roman" w:hAnsi="Times New Roman"/>
          <w:sz w:val="22"/>
          <w:szCs w:val="22"/>
          <w:color w:val="auto"/>
        </w:rPr>
      </w:pPr>
    </w:p>
    <w:p>
      <w:pPr>
        <w:ind w:right="40" w:firstLine="591"/>
        <w:spacing w:after="0" w:line="243" w:lineRule="auto"/>
        <w:tabs>
          <w:tab w:leader="none" w:pos="129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A grantee shall have the rights as a shareholder only as to shares of Stock acquired by the grantee upon settlement of a Deferred Stock Award.</w:t>
      </w:r>
    </w:p>
    <w:p>
      <w:pPr>
        <w:ind w:right="60" w:firstLine="591"/>
        <w:spacing w:after="0" w:line="249" w:lineRule="auto"/>
        <w:tabs>
          <w:tab w:leader="none" w:pos="12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Document or, subject to Section 18 below, in writing after the Award Document is issued, a grantee's right in all Deferred Stock Awards that have not vested shall automatically terminate upon the grantee's termination of employment (or cessation of service relationship) with the Company and its Subsidiaries for any reason.</w:t>
      </w:r>
    </w:p>
    <w:p>
      <w:pPr>
        <w:spacing w:after="0" w:line="1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DIVIDEND EQUIVALENT RIGHTS</w:t>
      </w:r>
    </w:p>
    <w:p>
      <w:pPr>
        <w:spacing w:after="0" w:line="58" w:lineRule="exact"/>
        <w:rPr>
          <w:sz w:val="20"/>
          <w:szCs w:val="20"/>
          <w:color w:val="auto"/>
        </w:rPr>
      </w:pPr>
    </w:p>
    <w:p>
      <w:pPr>
        <w:ind w:firstLine="591"/>
        <w:spacing w:after="0" w:line="246" w:lineRule="auto"/>
        <w:tabs>
          <w:tab w:leader="none" w:pos="129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A Dividend Equivalent Right may be granted hereunder to any grantee as a component of a Deferred Stock Award, Restricted Stock Award or Performance Share Award or as a freestanding award. The terms and conditions of Dividend Equivalent Rights shall be specified in the Award Document.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 Deferred Stock Award, Restricted Stock Award or Performance Share Award must provide that such Dividend Equivalent Right shall be subject to all of the same terms and conditions and settled upon settlement or payment of, or lapse of restrictions on, such other Award, and that such Dividend Equivalent Right shall expire or be forfeited or annulled under the same conditions as such other Award. A Dividend Equivalent Right granted as a component of a Deferred Stock Award, Restricted Stock Award or Performance Share Award may also contain terms and conditions different from such other Award. Further, the payment of dividends or dividend equivalents on unvested awards for all equity award types is prohibited.</w:t>
      </w:r>
    </w:p>
    <w:p>
      <w:pPr>
        <w:spacing w:after="0" w:line="13" w:lineRule="exact"/>
        <w:rPr>
          <w:rFonts w:ascii="Times New Roman" w:cs="Times New Roman" w:eastAsia="Times New Roman" w:hAnsi="Times New Roman"/>
          <w:sz w:val="22"/>
          <w:szCs w:val="22"/>
          <w:color w:val="auto"/>
        </w:rPr>
      </w:pPr>
    </w:p>
    <w:p>
      <w:pPr>
        <w:ind w:right="140" w:firstLine="591"/>
        <w:spacing w:after="0" w:line="246" w:lineRule="auto"/>
        <w:tabs>
          <w:tab w:leader="none" w:pos="129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Equivalents</w:t>
      </w:r>
      <w:r>
        <w:rPr>
          <w:rFonts w:ascii="Times New Roman" w:cs="Times New Roman" w:eastAsia="Times New Roman" w:hAnsi="Times New Roman"/>
          <w:sz w:val="22"/>
          <w:szCs w:val="22"/>
          <w:color w:val="auto"/>
        </w:rPr>
        <w:t>. Any Award under this Plan that is settled in whole or in part in cash on a deferred basis may provide in the grant for interest equivalents to be credited with respect to such cash payment. Interest equivalents may be compounded and shall be paid upon such terms and conditions as may be specified by the grant.</w:t>
      </w:r>
    </w:p>
    <w:p>
      <w:pPr>
        <w:spacing w:after="0" w:line="3" w:lineRule="exact"/>
        <w:rPr>
          <w:rFonts w:ascii="Times New Roman" w:cs="Times New Roman" w:eastAsia="Times New Roman" w:hAnsi="Times New Roman"/>
          <w:sz w:val="22"/>
          <w:szCs w:val="22"/>
          <w:color w:val="auto"/>
        </w:rPr>
      </w:pPr>
    </w:p>
    <w:p>
      <w:pPr>
        <w:ind w:right="60" w:firstLine="591"/>
        <w:spacing w:after="0" w:line="247" w:lineRule="auto"/>
        <w:tabs>
          <w:tab w:leader="none" w:pos="129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Document or, subject to Section 18 below, in writing after the Award Document is issued, a grantee's rights in all Dividend Equivalent Rights or interest equivalents granted as a component of a Deferred Stock Award, Restricted Stock Award or Performance Share Award that has not vested shall automatically terminate upon the grantee's termination of employment (or cessation of service relationship) with the Company and its Subsidiaries for any reason.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PERFORMANCE-BASED AWARDS</w:t>
      </w:r>
    </w:p>
    <w:p>
      <w:pPr>
        <w:spacing w:after="0" w:line="58" w:lineRule="exact"/>
        <w:rPr>
          <w:sz w:val="20"/>
          <w:szCs w:val="20"/>
          <w:color w:val="auto"/>
        </w:rPr>
      </w:pPr>
    </w:p>
    <w:p>
      <w:pPr>
        <w:ind w:right="160" w:firstLine="591"/>
        <w:spacing w:after="0" w:line="255" w:lineRule="auto"/>
        <w:tabs>
          <w:tab w:leader="none" w:pos="129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Performance-Based Awards</w:t>
      </w:r>
      <w:r>
        <w:rPr>
          <w:rFonts w:ascii="Times New Roman" w:cs="Times New Roman" w:eastAsia="Times New Roman" w:hAnsi="Times New Roman"/>
          <w:sz w:val="22"/>
          <w:szCs w:val="22"/>
          <w:color w:val="auto"/>
        </w:rPr>
        <w:t>. Any employee or other key person providing services to the Company and who is selected by the Administrator may be granted one or more Performance-Based Awards in the form of a Restricted Stock Award, Deferred Stock Award, Performance Share Awards or Cash-Based</w:t>
      </w:r>
    </w:p>
    <w:p>
      <w:pPr>
        <w:ind w:right="40"/>
        <w:spacing w:after="0" w:line="26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w:t>
      </w:r>
    </w:p>
    <w:p>
      <w:pPr>
        <w:sectPr>
          <w:pgSz w:w="11900" w:h="16838" w:orient="portrait"/>
          <w:cols w:equalWidth="0" w:num="1">
            <w:col w:w="11220"/>
          </w:cols>
          <w:pgMar w:left="320" w:top="126" w:right="359" w:bottom="0" w:gutter="0" w:footer="0" w:header="0"/>
        </w:sectPr>
      </w:pPr>
    </w:p>
    <w:bookmarkStart w:id="43" w:name="page44"/>
    <w:bookmarkEnd w:id="43"/>
    <w:p>
      <w:pPr>
        <w:ind w:right="80"/>
        <w:spacing w:after="0" w:line="260" w:lineRule="auto"/>
        <w:rPr>
          <w:sz w:val="20"/>
          <w:szCs w:val="20"/>
          <w:color w:val="auto"/>
        </w:rPr>
      </w:pPr>
      <w:r>
        <w:rPr>
          <w:rFonts w:ascii="Times New Roman" w:cs="Times New Roman" w:eastAsia="Times New Roman" w:hAnsi="Times New Roman"/>
          <w:sz w:val="21"/>
          <w:szCs w:val="21"/>
          <w:color w:val="auto"/>
        </w:rPr>
        <w:t>Performance Period.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Period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w:t>
      </w:r>
    </w:p>
    <w:p>
      <w:pPr>
        <w:spacing w:after="0" w:line="2" w:lineRule="exact"/>
        <w:rPr>
          <w:sz w:val="20"/>
          <w:szCs w:val="20"/>
          <w:color w:val="auto"/>
        </w:rPr>
      </w:pPr>
    </w:p>
    <w:p>
      <w:pPr>
        <w:ind w:right="180" w:firstLine="591"/>
        <w:spacing w:after="0" w:line="246" w:lineRule="auto"/>
        <w:tabs>
          <w:tab w:leader="none" w:pos="12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Performance-Based Awards</w:t>
      </w:r>
      <w:r>
        <w:rPr>
          <w:rFonts w:ascii="Times New Roman" w:cs="Times New Roman" w:eastAsia="Times New Roman" w:hAnsi="Times New Roman"/>
          <w:sz w:val="22"/>
          <w:szCs w:val="22"/>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Performance-Based Award, and, in doing so, may reduce or eliminate the amount of the Performance-Based Award if, in its sole judgment, such reduction or elimination is appropriate.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TRANSFERABILITY OF AWARDS</w:t>
      </w:r>
    </w:p>
    <w:p>
      <w:pPr>
        <w:spacing w:after="0" w:line="71" w:lineRule="exact"/>
        <w:rPr>
          <w:sz w:val="20"/>
          <w:szCs w:val="20"/>
          <w:color w:val="auto"/>
        </w:rPr>
      </w:pPr>
    </w:p>
    <w:p>
      <w:pPr>
        <w:ind w:right="80" w:firstLine="591"/>
        <w:spacing w:after="0" w:line="248" w:lineRule="auto"/>
        <w:tabs>
          <w:tab w:leader="none" w:pos="12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qualified domestic relations order. No Awards shall be subject, in whole or in part, to attachment, execution or levy of any kind, and any purported transfer in violation hereof shall be null and void.</w:t>
      </w:r>
    </w:p>
    <w:p>
      <w:pPr>
        <w:spacing w:after="0" w:line="1" w:lineRule="exact"/>
        <w:rPr>
          <w:rFonts w:ascii="Times New Roman" w:cs="Times New Roman" w:eastAsia="Times New Roman" w:hAnsi="Times New Roman"/>
          <w:sz w:val="22"/>
          <w:szCs w:val="22"/>
          <w:color w:val="auto"/>
        </w:rPr>
      </w:pPr>
    </w:p>
    <w:p>
      <w:pPr>
        <w:ind w:right="300" w:firstLine="591"/>
        <w:spacing w:after="0" w:line="247" w:lineRule="auto"/>
        <w:tabs>
          <w:tab w:leader="none" w:pos="12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Notwithstanding Section 14(a), the Administrator, in its discretion, may provide either in the Award Document regarding a given Award or by subsequent written approval that the grantee (who is an employee or director) may transfer his or her Awards (other than any Incentive Stock Options or Deferred Stock Awards)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w:t>
      </w:r>
    </w:p>
    <w:p>
      <w:pPr>
        <w:spacing w:after="0" w:line="1" w:lineRule="exact"/>
        <w:rPr>
          <w:rFonts w:ascii="Times New Roman" w:cs="Times New Roman" w:eastAsia="Times New Roman" w:hAnsi="Times New Roman"/>
          <w:sz w:val="22"/>
          <w:szCs w:val="22"/>
          <w:color w:val="auto"/>
        </w:rPr>
      </w:pPr>
    </w:p>
    <w:p>
      <w:pPr>
        <w:ind w:right="80" w:firstLine="591"/>
        <w:spacing w:after="0" w:line="245" w:lineRule="auto"/>
        <w:tabs>
          <w:tab w:leader="none" w:pos="12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3" w:lineRule="exact"/>
        <w:rPr>
          <w:rFonts w:ascii="Times New Roman" w:cs="Times New Roman" w:eastAsia="Times New Roman" w:hAnsi="Times New Roman"/>
          <w:sz w:val="22"/>
          <w:szCs w:val="22"/>
          <w:color w:val="auto"/>
        </w:rPr>
      </w:pPr>
    </w:p>
    <w:p>
      <w:pPr>
        <w:ind w:right="400" w:firstLine="591"/>
        <w:spacing w:after="0" w:line="247" w:lineRule="auto"/>
        <w:tabs>
          <w:tab w:leader="none" w:pos="129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TAX WITHHOLDING</w:t>
      </w:r>
    </w:p>
    <w:p>
      <w:pPr>
        <w:spacing w:after="0" w:line="58" w:lineRule="exact"/>
        <w:rPr>
          <w:sz w:val="20"/>
          <w:szCs w:val="20"/>
          <w:color w:val="auto"/>
        </w:rPr>
      </w:pPr>
    </w:p>
    <w:p>
      <w:pPr>
        <w:ind w:right="180" w:firstLine="591"/>
        <w:spacing w:after="0" w:line="254" w:lineRule="auto"/>
        <w:tabs>
          <w:tab w:leader="none" w:pos="12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Stock or other amounts received thereunder first becomes includable in the gross income of the</w:t>
      </w:r>
    </w:p>
    <w:p>
      <w:pPr>
        <w:spacing w:after="0" w:line="1" w:lineRule="exact"/>
        <w:rPr>
          <w:rFonts w:ascii="Times New Roman" w:cs="Times New Roman" w:eastAsia="Times New Roman" w:hAnsi="Times New Roman"/>
          <w:sz w:val="22"/>
          <w:szCs w:val="22"/>
          <w:color w:val="auto"/>
        </w:rPr>
      </w:pPr>
    </w:p>
    <w:p>
      <w:pPr>
        <w:ind w:right="8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3" w:lineRule="exact"/>
        <w:rPr>
          <w:rFonts w:ascii="Times New Roman" w:cs="Times New Roman" w:eastAsia="Times New Roman" w:hAnsi="Times New Roman"/>
          <w:sz w:val="22"/>
          <w:szCs w:val="22"/>
          <w:color w:val="auto"/>
        </w:rPr>
      </w:pPr>
    </w:p>
    <w:p>
      <w:pPr>
        <w:ind w:firstLine="591"/>
        <w:spacing w:after="0" w:line="249" w:lineRule="auto"/>
        <w:tabs>
          <w:tab w:leader="none" w:pos="129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Subject to approval by the Administrator, a grantee may elect to have the Company's minimum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SECTION 409A AWARDS</w:t>
      </w:r>
    </w:p>
    <w:p>
      <w:pPr>
        <w:spacing w:after="0" w:line="58"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TRANSFER, LEAVE OF ABSENCE, ETC.</w:t>
      </w:r>
    </w:p>
    <w:p>
      <w:pPr>
        <w:spacing w:after="0" w:line="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For purposes of the Plan, the following events shall not be deemed a termination of employment:</w:t>
      </w:r>
    </w:p>
    <w:p>
      <w:pPr>
        <w:spacing w:after="0" w:line="28" w:lineRule="exact"/>
        <w:rPr>
          <w:sz w:val="20"/>
          <w:szCs w:val="20"/>
          <w:color w:val="auto"/>
        </w:rPr>
      </w:pPr>
    </w:p>
    <w:p>
      <w:pPr>
        <w:ind w:right="20" w:firstLine="591"/>
        <w:spacing w:after="0" w:line="248" w:lineRule="auto"/>
        <w:tabs>
          <w:tab w:leader="none" w:pos="129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employment of the Company from a Subsidiary or from the Company to a Subsidiary, or from one Subsidiary to another; or</w:t>
      </w:r>
    </w:p>
    <w:p>
      <w:pPr>
        <w:sectPr>
          <w:pgSz w:w="11900" w:h="16838" w:orient="portrait"/>
          <w:cols w:equalWidth="0" w:num="1">
            <w:col w:w="11240"/>
          </w:cols>
          <w:pgMar w:left="320" w:top="126" w:right="339" w:bottom="0" w:gutter="0" w:footer="0" w:header="0"/>
        </w:sectPr>
      </w:pPr>
    </w:p>
    <w:bookmarkStart w:id="44" w:name="page45"/>
    <w:bookmarkEnd w:id="44"/>
    <w:p>
      <w:pPr>
        <w:jc w:val="both"/>
        <w:ind w:right="60" w:firstLine="591"/>
        <w:spacing w:after="0" w:line="257" w:lineRule="auto"/>
        <w:tabs>
          <w:tab w:leader="none" w:pos="12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AMENDMENTS AND TERMINATION</w:t>
      </w:r>
    </w:p>
    <w:p>
      <w:pPr>
        <w:spacing w:after="0" w:line="58" w:lineRule="exact"/>
        <w:rPr>
          <w:sz w:val="20"/>
          <w:szCs w:val="20"/>
          <w:color w:val="auto"/>
        </w:rPr>
      </w:pPr>
    </w:p>
    <w:p>
      <w:pPr>
        <w:ind w:right="20" w:firstLine="583"/>
        <w:spacing w:after="0" w:line="248" w:lineRule="auto"/>
        <w:rPr>
          <w:sz w:val="20"/>
          <w:szCs w:val="20"/>
          <w:color w:val="auto"/>
        </w:rPr>
      </w:pPr>
      <w:r>
        <w:rPr>
          <w:rFonts w:ascii="Times New Roman" w:cs="Times New Roman" w:eastAsia="Times New Roman" w:hAnsi="Times New Roman"/>
          <w:sz w:val="22"/>
          <w:szCs w:val="22"/>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shareholder approval, in no event may the Administrator exercise its discretion to (i) reduce the exercise price of outstanding Stock Options or Stock Appreciation Rights or (ii) cancel any outstanding Option or Stock Appreciation Right that has an exercise price greater than the then current Fair Market Value of the Stock in exchange for cash or other Awards under the Plan.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the Company shareholders entitled to vote at a meeting of shareholders. Nothing in this Section 18 shall limit the Administrator's authority to take any action permitted pursuant to Section 3(d).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STATUS OF PLAN</w:t>
      </w:r>
    </w:p>
    <w:p>
      <w:pPr>
        <w:spacing w:after="0" w:line="58" w:lineRule="exact"/>
        <w:rPr>
          <w:sz w:val="20"/>
          <w:szCs w:val="20"/>
          <w:color w:val="auto"/>
        </w:rPr>
      </w:pPr>
    </w:p>
    <w:p>
      <w:pPr>
        <w:ind w:right="380" w:firstLine="583"/>
        <w:spacing w:after="0" w:line="251" w:lineRule="auto"/>
        <w:rPr>
          <w:sz w:val="20"/>
          <w:szCs w:val="20"/>
          <w:color w:val="auto"/>
        </w:rPr>
      </w:pPr>
      <w:r>
        <w:rPr>
          <w:rFonts w:ascii="Times New Roman" w:cs="Times New Roman" w:eastAsia="Times New Roman" w:hAnsi="Times New Roman"/>
          <w:sz w:val="22"/>
          <w:szCs w:val="22"/>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w:t>
      </w:r>
    </w:p>
    <w:p>
      <w:pPr>
        <w:spacing w:after="0" w:line="2"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22"/>
          <w:szCs w:val="22"/>
          <w:color w:val="auto"/>
        </w:rPr>
        <w:t>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GENERAL PROVISIONS</w:t>
      </w:r>
    </w:p>
    <w:p>
      <w:pPr>
        <w:spacing w:after="0" w:line="58" w:lineRule="exact"/>
        <w:rPr>
          <w:sz w:val="20"/>
          <w:szCs w:val="20"/>
          <w:color w:val="auto"/>
        </w:rPr>
      </w:pPr>
    </w:p>
    <w:p>
      <w:pPr>
        <w:ind w:right="80" w:firstLine="591"/>
        <w:spacing w:after="0" w:line="261" w:lineRule="auto"/>
        <w:tabs>
          <w:tab w:leader="none" w:pos="12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 distribution thereof.</w:t>
      </w:r>
    </w:p>
    <w:p>
      <w:pPr>
        <w:ind w:firstLine="591"/>
        <w:spacing w:after="0" w:line="257" w:lineRule="auto"/>
        <w:tabs>
          <w:tab w:leader="none" w:pos="129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Stock Certificates</w:t>
      </w:r>
      <w:r>
        <w:rPr>
          <w:rFonts w:ascii="Times New Roman" w:cs="Times New Roman" w:eastAsia="Times New Roman" w:hAnsi="Times New Roman"/>
          <w:sz w:val="21"/>
          <w:szCs w:val="21"/>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jc w:val="both"/>
        <w:ind w:right="80" w:firstLine="591"/>
        <w:spacing w:after="0" w:line="247" w:lineRule="auto"/>
        <w:tabs>
          <w:tab w:leader="none" w:pos="12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Until Stock is deemed delivered in accordance with Section 20(b), no right to vote or receive dividends or any other rights of a shareholder will exist with respect to shares of Stock to be issued in connection with an Award, notwithstanding the exercise of a Stock Option or any other action by the grantee with respect to an Award.</w:t>
      </w:r>
    </w:p>
    <w:p>
      <w:pPr>
        <w:spacing w:after="0" w:line="1" w:lineRule="exact"/>
        <w:rPr>
          <w:rFonts w:ascii="Times New Roman" w:cs="Times New Roman" w:eastAsia="Times New Roman" w:hAnsi="Times New Roman"/>
          <w:sz w:val="22"/>
          <w:szCs w:val="22"/>
          <w:color w:val="auto"/>
        </w:rPr>
      </w:pPr>
    </w:p>
    <w:p>
      <w:pPr>
        <w:jc w:val="both"/>
        <w:ind w:right="320" w:firstLine="591"/>
        <w:spacing w:after="0" w:line="243" w:lineRule="auto"/>
        <w:tabs>
          <w:tab w:leader="none" w:pos="129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Compensation Arrangements; No Employment Rights</w:t>
      </w:r>
      <w:r>
        <w:rPr>
          <w:rFonts w:ascii="Times New Roman" w:cs="Times New Roman" w:eastAsia="Times New Roman" w:hAnsi="Times New Roman"/>
          <w:sz w:val="22"/>
          <w:szCs w:val="22"/>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3" w:lineRule="exact"/>
        <w:rPr>
          <w:rFonts w:ascii="Times New Roman" w:cs="Times New Roman" w:eastAsia="Times New Roman" w:hAnsi="Times New Roman"/>
          <w:sz w:val="22"/>
          <w:szCs w:val="22"/>
          <w:color w:val="auto"/>
        </w:rPr>
      </w:pPr>
    </w:p>
    <w:p>
      <w:pPr>
        <w:ind w:right="200" w:firstLine="591"/>
        <w:spacing w:after="0" w:line="248" w:lineRule="auto"/>
        <w:tabs>
          <w:tab w:leader="none" w:pos="12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 w:lineRule="exact"/>
        <w:rPr>
          <w:rFonts w:ascii="Times New Roman" w:cs="Times New Roman" w:eastAsia="Times New Roman" w:hAnsi="Times New Roman"/>
          <w:sz w:val="22"/>
          <w:szCs w:val="22"/>
          <w:color w:val="auto"/>
        </w:rPr>
      </w:pPr>
    </w:p>
    <w:p>
      <w:pPr>
        <w:ind w:right="120" w:firstLine="591"/>
        <w:spacing w:after="0" w:line="246" w:lineRule="auto"/>
        <w:tabs>
          <w:tab w:leader="none" w:pos="128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or Recoupment of Awards</w:t>
      </w:r>
      <w:r>
        <w:rPr>
          <w:rFonts w:ascii="Times New Roman" w:cs="Times New Roman" w:eastAsia="Times New Roman" w:hAnsi="Times New Roman"/>
          <w:sz w:val="22"/>
          <w:szCs w:val="22"/>
          <w:color w:val="auto"/>
        </w:rPr>
        <w:t>. A grantee's rights with respect to any Award under this Plan shall in all events be subject to (a) all rights that the Company may have under any Company written clawback or recoupment policy or other written agreement or arrangement with the grantee and (b) all rights and obligations that the Company may have regarding the clawback of "incentive-based compensation" under Section 10D of the Exchange Act, the Dodd-Frank Wall Street Reform and Consumer Protection Act of 2010 and any applicable rules and regulations promulgated thereunder from time to time by the U.S. Securities and Exchange Commission in effect on the grant date or thereafter.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EFFECTIVE DATE OF PLAN</w:t>
      </w:r>
    </w:p>
    <w:p>
      <w:pPr>
        <w:sectPr>
          <w:pgSz w:w="11900" w:h="16838" w:orient="portrait"/>
          <w:cols w:equalWidth="0" w:num="1">
            <w:col w:w="11240"/>
          </w:cols>
          <w:pgMar w:left="320" w:top="126" w:right="339" w:bottom="19" w:gutter="0" w:footer="0" w:header="0"/>
        </w:sectPr>
      </w:pPr>
    </w:p>
    <w:bookmarkStart w:id="45" w:name="page46"/>
    <w:bookmarkEnd w:id="45"/>
    <w:p>
      <w:pPr>
        <w:jc w:val="both"/>
        <w:ind w:right="260" w:firstLine="583"/>
        <w:spacing w:after="0" w:line="257" w:lineRule="auto"/>
        <w:rPr>
          <w:sz w:val="20"/>
          <w:szCs w:val="20"/>
          <w:color w:val="auto"/>
        </w:rPr>
      </w:pPr>
      <w:r>
        <w:rPr>
          <w:rFonts w:ascii="Times New Roman" w:cs="Times New Roman" w:eastAsia="Times New Roman" w:hAnsi="Times New Roman"/>
          <w:sz w:val="22"/>
          <w:szCs w:val="22"/>
          <w:color w:val="auto"/>
        </w:rPr>
        <w:t>This Plan shall become effective upon approval by Company shareholders at which a quorum is present (the "Effective Date"). No grants of Stock Options and other Awards may be made hereunder after the date that is the tenth anniversary of the Effective Date.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GOVERNING LAW</w:t>
      </w:r>
    </w:p>
    <w:p>
      <w:pPr>
        <w:spacing w:after="0" w:line="58" w:lineRule="exact"/>
        <w:rPr>
          <w:sz w:val="20"/>
          <w:szCs w:val="20"/>
          <w:color w:val="auto"/>
        </w:rPr>
      </w:pPr>
    </w:p>
    <w:p>
      <w:pPr>
        <w:ind w:firstLine="583"/>
        <w:spacing w:after="0" w:line="271"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laws of the Commonwealth of Massachusetts, applied without regard to conflict of law principles.</w:t>
      </w:r>
    </w:p>
    <w:p>
      <w:pPr>
        <w:sectPr>
          <w:pgSz w:w="11900" w:h="16838" w:orient="portrait"/>
          <w:cols w:equalWidth="0" w:num="1">
            <w:col w:w="11180"/>
          </w:cols>
          <w:pgMar w:left="320" w:top="126" w:right="3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Yogesh K. Gupta, certify that:</w:t>
      </w:r>
    </w:p>
    <w:p>
      <w:pPr>
        <w:spacing w:after="0" w:line="252"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Progress Software Corporation;</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60" w:hanging="4"/>
        <w:spacing w:after="0" w:line="257" w:lineRule="auto"/>
        <w:tabs>
          <w:tab w:leader="none" w:pos="8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700" w:hanging="4"/>
        <w:spacing w:after="0" w:line="265" w:lineRule="auto"/>
        <w:tabs>
          <w:tab w:leader="none" w:pos="84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4"/>
        <w:spacing w:after="0" w:line="255"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660" w:right="100" w:hanging="4"/>
        <w:spacing w:after="0" w:line="261" w:lineRule="auto"/>
        <w:tabs>
          <w:tab w:leader="none" w:pos="84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4"/>
        <w:spacing w:after="0" w:line="260" w:lineRule="auto"/>
        <w:tabs>
          <w:tab w:leader="none" w:pos="85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342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Yogesh K. Gupta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Folger, certify that:</w:t>
      </w:r>
    </w:p>
    <w:p>
      <w:pPr>
        <w:spacing w:after="0" w:line="252"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Progress Software Corporation;</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60" w:hanging="4"/>
        <w:spacing w:after="0" w:line="257" w:lineRule="auto"/>
        <w:tabs>
          <w:tab w:leader="none" w:pos="8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8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700" w:hanging="4"/>
        <w:spacing w:after="0" w:line="265" w:lineRule="auto"/>
        <w:tabs>
          <w:tab w:leader="none" w:pos="845"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4"/>
        <w:spacing w:after="0" w:line="255" w:lineRule="auto"/>
        <w:tabs>
          <w:tab w:leader="none" w:pos="8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660" w:right="100" w:hanging="4"/>
        <w:spacing w:after="0" w:line="261" w:lineRule="auto"/>
        <w:tabs>
          <w:tab w:leader="none" w:pos="8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4"/>
        <w:spacing w:after="0" w:line="260" w:lineRule="auto"/>
        <w:tabs>
          <w:tab w:leader="none" w:pos="8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ANTHONY FOLGER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Folger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Progress Software Corporation (the "Company") for the three months ended May 31, 2026, as filed with the Securities and Exchange Commission on the date hereof (the "Report"), each of the undersigned, Yogesh K. Gupta, President and Chief Executive Officer, and Anthony Folger, Executive Vice President and Chief Financial Officer, of the Company, certifies, to the best knowledge and belief of the signatory, pursuant to 18 U.S.C. Section 1350, as adopted pursuant to Section 906 of the Sarbanes-Oxley Act of 2002, that:</w:t>
      </w:r>
    </w:p>
    <w:p>
      <w:pPr>
        <w:spacing w:after="0" w:line="207" w:lineRule="exact"/>
        <w:rPr>
          <w:sz w:val="20"/>
          <w:szCs w:val="20"/>
          <w:color w:val="auto"/>
        </w:rPr>
      </w:pPr>
    </w:p>
    <w:p>
      <w:pPr>
        <w:ind w:left="840" w:hanging="184"/>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740" w:hanging="4"/>
        <w:spacing w:after="0" w:line="282" w:lineRule="auto"/>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YOGESH K. GUPTA</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FOLGER</w:t>
            </w:r>
          </w:p>
        </w:tc>
      </w:tr>
      <w:tr>
        <w:trPr>
          <w:trHeight w:val="228"/>
        </w:trPr>
        <w:tc>
          <w:tcPr>
            <w:tcW w:w="4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400" w:type="dxa"/>
            <w:vAlign w:val="bottom"/>
          </w:tcPr>
          <w:p>
            <w:pPr>
              <w:spacing w:after="0"/>
              <w:rPr>
                <w:sz w:val="19"/>
                <w:szCs w:val="19"/>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4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June 30, 2026</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30,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04"/>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2"/>
    </w:lvl>
  </w:abstractNum>
  <w:abstractNum w:abstractNumId="9">
    <w:nsid w:val="1E7FF521"/>
    <w:multiLevelType w:val="hybridMultilevel"/>
    <w:lvl w:ilvl="0">
      <w:lvlJc w:val="left"/>
      <w:lvlText w:val="%1."/>
      <w:numFmt w:val="decimal"/>
      <w:start w:val="5"/>
    </w:lvl>
  </w:abstractNum>
  <w:abstractNum w:abstractNumId="10">
    <w:nsid w:val="7C3DBD3D"/>
    <w:multiLevelType w:val="hybridMultilevel"/>
    <w:lvl w:ilvl="0">
      <w:lvlJc w:val="left"/>
      <w:lvlText w:val="%1."/>
      <w:numFmt w:val="decimal"/>
      <w:start w:val="6"/>
    </w:lvl>
    <w:lvl w:ilvl="1">
      <w:lvlJc w:val="left"/>
      <w:lvlText w:val="(%2)"/>
      <w:numFmt w:val="lowerLetter"/>
      <w:start w:val="1"/>
    </w:lvl>
  </w:abstractNum>
  <w:abstractNum w:abstractNumId="11">
    <w:nsid w:val="737B8DDC"/>
    <w:multiLevelType w:val="hybridMultilevel"/>
    <w:lvl w:ilvl="0">
      <w:lvlJc w:val="left"/>
      <w:lvlText w:val="%1"/>
      <w:numFmt w:val="decimal"/>
      <w:start w:val="12"/>
    </w:lvl>
    <w:lvl w:ilvl="1">
      <w:lvlJc w:val="left"/>
      <w:lvlText w:val="(%2)"/>
      <w:numFmt w:val="lowerLetter"/>
      <w:start w:val="2"/>
    </w:lvl>
  </w:abstractNum>
  <w:abstractNum w:abstractNumId="12">
    <w:nsid w:val="6CEAF087"/>
    <w:multiLevelType w:val="hybridMultilevel"/>
    <w:lvl w:ilvl="0">
      <w:lvlJc w:val="left"/>
      <w:lvlText w:val="%1."/>
      <w:numFmt w:val="decimal"/>
      <w:start w:val="8"/>
    </w:lvl>
  </w:abstractNum>
  <w:abstractNum w:abstractNumId="13">
    <w:nsid w:val="22221A70"/>
    <w:multiLevelType w:val="hybridMultilevel"/>
    <w:lvl w:ilvl="0">
      <w:lvlJc w:val="left"/>
      <w:lvlText w:val="%1."/>
      <w:numFmt w:val="decimal"/>
      <w:start w:val="9"/>
    </w:lvl>
  </w:abstractNum>
  <w:abstractNum w:abstractNumId="14">
    <w:nsid w:val="4516DDE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
    <w:nsid w:val="3006C83E"/>
    <w:multiLevelType w:val="hybridMultilevel"/>
    <w:lvl w:ilvl="0">
      <w:lvlJc w:val="left"/>
      <w:lvlText w:val="%1."/>
      <w:numFmt w:val="decimal"/>
      <w:start w:val="12"/>
    </w:lvl>
    <w:lvl w:ilvl="1">
      <w:lvlJc w:val="left"/>
      <w:lvlText w:val="(%2)"/>
      <w:numFmt w:val="lowerLetter"/>
      <w:start w:val="1"/>
    </w:lvl>
  </w:abstractNum>
  <w:abstractNum w:abstractNumId="16">
    <w:nsid w:val="614FD4A1"/>
    <w:multiLevelType w:val="hybridMultilevel"/>
    <w:lvl w:ilvl="0">
      <w:lvlJc w:val="left"/>
      <w:lvlText w:val="%1."/>
      <w:numFmt w:val="decimal"/>
      <w:start w:val="14"/>
    </w:lvl>
  </w:abstractNum>
  <w:abstractNum w:abstractNumId="17">
    <w:nsid w:val="419AC241"/>
    <w:multiLevelType w:val="hybridMultilevel"/>
    <w:lvl w:ilvl="0">
      <w:lvlJc w:val="left"/>
      <w:lvlText w:val="%1."/>
      <w:numFmt w:val="decimal"/>
      <w:start w:val="15"/>
    </w:lvl>
  </w:abstractNum>
  <w:abstractNum w:abstractNumId="18">
    <w:nsid w:val="5577F8E1"/>
    <w:multiLevelType w:val="hybridMultilevel"/>
    <w:lvl w:ilvl="0">
      <w:lvlJc w:val="left"/>
      <w:lvlText w:val="%1."/>
      <w:numFmt w:val="decimal"/>
      <w:start w:val="16"/>
    </w:lvl>
  </w:abstractNum>
  <w:abstractNum w:abstractNumId="19">
    <w:nsid w:val="440BADFC"/>
    <w:multiLevelType w:val="hybridMultilevel"/>
    <w:lvl w:ilvl="0">
      <w:lvlJc w:val="left"/>
      <w:lvlText w:val="%1."/>
      <w:numFmt w:val="decimal"/>
      <w:start w:val="17"/>
    </w:lvl>
  </w:abstractNum>
  <w:abstractNum w:abstractNumId="20">
    <w:nsid w:val="5072367"/>
    <w:multiLevelType w:val="hybridMultilevel"/>
    <w:lvl w:ilvl="0">
      <w:lvlJc w:val="left"/>
      <w:lvlText w:val="%1."/>
      <w:numFmt w:val="decimal"/>
      <w:start w:val="18"/>
    </w:lvl>
  </w:abstractNum>
  <w:abstractNum w:abstractNumId="21">
    <w:nsid w:val="3804823E"/>
    <w:multiLevelType w:val="hybridMultilevel"/>
    <w:lvl w:ilvl="0">
      <w:lvlJc w:val="left"/>
      <w:lvlText w:val="%1."/>
      <w:numFmt w:val="decimal"/>
      <w:start w:val="19"/>
    </w:lvl>
  </w:abstractNum>
  <w:abstractNum w:abstractNumId="22">
    <w:nsid w:val="77465F01"/>
    <w:multiLevelType w:val="hybridMultilevel"/>
    <w:lvl w:ilvl="0">
      <w:lvlJc w:val="left"/>
      <w:lvlText w:val="%1."/>
      <w:numFmt w:val="decimal"/>
      <w:start w:val="20"/>
    </w:lvl>
  </w:abstractNum>
  <w:abstractNum w:abstractNumId="23">
    <w:nsid w:val="7724C67E"/>
    <w:multiLevelType w:val="hybridMultilevel"/>
    <w:lvl w:ilvl="0">
      <w:lvlJc w:val="left"/>
      <w:lvlText w:val="%1."/>
      <w:numFmt w:val="decimal"/>
      <w:start w:val="21"/>
    </w:lvl>
  </w:abstractNum>
  <w:abstractNum w:abstractNumId="24">
    <w:nsid w:val="5C482A97"/>
    <w:multiLevelType w:val="hybridMultilevel"/>
    <w:lvl w:ilvl="0">
      <w:lvlJc w:val="left"/>
      <w:lvlText w:val="%1."/>
      <w:numFmt w:val="decimal"/>
      <w:start w:val="22"/>
    </w:lvl>
  </w:abstractNum>
  <w:abstractNum w:abstractNumId="25">
    <w:nsid w:val="2463B9EA"/>
    <w:multiLevelType w:val="hybridMultilevel"/>
    <w:lvl w:ilvl="0">
      <w:lvlJc w:val="left"/>
      <w:lvlText w:val="(%1)"/>
      <w:numFmt w:val="lowerLetter"/>
      <w:start w:val="1"/>
    </w:lvl>
    <w:lvl w:ilvl="1">
      <w:lvlJc w:val="left"/>
      <w:lvlText w:val="(%2)"/>
      <w:numFmt w:val="lowerRoman"/>
      <w:start w:val="1"/>
    </w:lvl>
  </w:abstractNum>
  <w:abstractNum w:abstractNumId="26">
    <w:nsid w:val="5E884ADC"/>
    <w:multiLevelType w:val="hybridMultilevel"/>
    <w:lvl w:ilvl="0">
      <w:lvlJc w:val="left"/>
      <w:lvlText w:val="%1"/>
      <w:numFmt w:val="lowerRoman"/>
      <w:start w:val="1"/>
    </w:lvl>
    <w:lvl w:ilvl="1">
      <w:lvlJc w:val="left"/>
      <w:lvlText w:val="(%2)"/>
      <w:numFmt w:val="lowerLetter"/>
      <w:start w:val="3"/>
    </w:lvl>
  </w:abstractNum>
  <w:abstractNum w:abstractNumId="27">
    <w:nsid w:val="51EAD36B"/>
    <w:multiLevelType w:val="hybridMultilevel"/>
    <w:lvl w:ilvl="0">
      <w:lvlJc w:val="left"/>
      <w:lvlText w:val="(%1)"/>
      <w:numFmt w:val="lowerRoman"/>
      <w:start w:val="4"/>
    </w:lvl>
    <w:lvl w:ilvl="1">
      <w:lvlJc w:val="left"/>
      <w:lvlText w:val="%2"/>
      <w:numFmt w:val="lowerLetter"/>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4"/>
    </w:lvl>
  </w:abstractNum>
  <w:abstractNum w:abstractNumId="30">
    <w:nsid w:val="153EA438"/>
    <w:multiLevelType w:val="hybridMultilevel"/>
    <w:lvl w:ilvl="0">
      <w:lvlJc w:val="left"/>
      <w:lvlText w:val="(%1)"/>
      <w:numFmt w:val="lowerLetter"/>
      <w:start w:val="1"/>
    </w:lvl>
    <w:lvl w:ilvl="1">
      <w:lvlJc w:val="left"/>
      <w:lvlText w:val="(%2)"/>
      <w:numFmt w:val="lowerLetter"/>
      <w:start w:val="9"/>
    </w:lvl>
  </w:abstractNum>
  <w:abstractNum w:abstractNumId="31">
    <w:nsid w:val="3855585C"/>
    <w:multiLevelType w:val="hybridMultilevel"/>
    <w:lvl w:ilvl="0">
      <w:lvlJc w:val="left"/>
      <w:lvlText w:val="(%1)"/>
      <w:numFmt w:val="lowerRoman"/>
      <w:start w:val="2"/>
    </w:lvl>
  </w:abstractNum>
  <w:abstractNum w:abstractNumId="32">
    <w:nsid w:val="70A64E2A"/>
    <w:multiLevelType w:val="hybridMultilevel"/>
    <w:lvl w:ilvl="0">
      <w:lvlJc w:val="left"/>
      <w:lvlText w:val="(%1)"/>
      <w:numFmt w:val="lowerLetter"/>
      <w:start w:val="6"/>
    </w:lvl>
  </w:abstractNum>
  <w:abstractNum w:abstractNumId="33">
    <w:nsid w:val="6A2342EC"/>
    <w:multiLevelType w:val="hybridMultilevel"/>
    <w:lvl w:ilvl="0">
      <w:lvlJc w:val="left"/>
      <w:lvlText w:val="%1"/>
      <w:numFmt w:val="lowerLetter"/>
      <w:start w:val="1"/>
    </w:lvl>
    <w:lvl w:ilvl="1">
      <w:lvlJc w:val="left"/>
      <w:lvlText w:val="(%2)"/>
      <w:numFmt w:val="lowerLetter"/>
      <w:start w:val="1"/>
    </w:lvl>
  </w:abstractNum>
  <w:abstractNum w:abstractNumId="34">
    <w:nsid w:val="2A487CB0"/>
    <w:multiLevelType w:val="hybridMultilevel"/>
    <w:lvl w:ilvl="0">
      <w:lvlJc w:val="left"/>
      <w:lvlText w:val="(%1)"/>
      <w:numFmt w:val="lowerLetter"/>
      <w:start w:val="35"/>
    </w:lvl>
    <w:lvl w:ilvl="1">
      <w:lvlJc w:val="left"/>
      <w:lvlText w:val="(%2)"/>
      <w:numFmt w:val="lowerLetter"/>
      <w:start w:val="5"/>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Letter"/>
      <w:start w:val="2"/>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2026-06-30T15:24:22Z</dcterms:created>
  <dcterms:modified xsi:type="dcterms:W3CDTF">2026-06-30T15:24:22Z</dcterms:modified>
</cp:coreProperties>
</file>