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2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7,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w:t>
      </w:r>
    </w:p>
    <w:p>
      <w:pPr>
        <w:spacing w:after="0" w:line="11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2"/>
          <w:szCs w:val="42"/>
          <w:b w:val="1"/>
          <w:bCs w:val="1"/>
          <w:color w:val="auto"/>
        </w:rPr>
        <w:t>Progress Software Corporation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32" w:right="339" w:bottom="1440" w:gutter="0" w:footer="0" w:header="0"/>
        </w:sectPr>
      </w:pPr>
    </w:p>
    <w:p>
      <w:pPr>
        <w:spacing w:after="0" w:line="201"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0-19417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04-2746201</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5020" w:space="720"/>
            <w:col w:w="1900" w:space="620"/>
            <w:col w:w="2980"/>
          </w:cols>
          <w:pgMar w:left="320" w:top="232" w:right="339" w:bottom="1440" w:gutter="0" w:footer="0" w:header="0"/>
          <w:type w:val="continuous"/>
        </w:sectPr>
      </w:pPr>
    </w:p>
    <w:p>
      <w:pPr>
        <w:spacing w:after="0" w:line="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7"/>
          <w:szCs w:val="17"/>
          <w:b w:val="1"/>
          <w:bCs w:val="1"/>
          <w:color w:val="auto"/>
        </w:rPr>
        <w:t>15 Wayside Road, Suite 400, Burlington, Massachusetts</w:t>
      </w:r>
    </w:p>
    <w:p>
      <w:pPr>
        <w:spacing w:after="0" w:line="4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01803</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8220" w:space="720"/>
            <w:col w:w="2300"/>
          </w:cols>
          <w:pgMar w:left="320" w:top="23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280-4000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32" w:right="339" w:bottom="1440" w:gutter="0" w:footer="0" w:header="0"/>
          <w:type w:val="continuous"/>
        </w:sectPr>
      </w:pPr>
    </w:p>
    <w:p>
      <w:pPr>
        <w:spacing w:after="0" w:line="185"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44" w:lineRule="exact"/>
        <w:rPr>
          <w:sz w:val="24"/>
          <w:szCs w:val="24"/>
          <w:color w:val="auto"/>
        </w:rPr>
      </w:pPr>
    </w:p>
    <w:p>
      <w:pPr>
        <w:sectPr>
          <w:pgSz w:w="11900" w:h="16838" w:orient="portrait"/>
          <w:cols w:equalWidth="0" w:num="3">
            <w:col w:w="4240" w:space="720"/>
            <w:col w:w="1660" w:space="720"/>
            <w:col w:w="3900"/>
          </w:cols>
          <w:pgMar w:left="320" w:top="232" w:right="3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PRGS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580" w:space="720"/>
            <w:col w:w="3540"/>
          </w:cols>
          <w:pgMar w:left="320" w:top="232" w:right="339" w:bottom="1440" w:gutter="0" w:footer="0" w:header="0"/>
          <w:type w:val="continuous"/>
        </w:sectPr>
      </w:pPr>
    </w:p>
    <w:p>
      <w:pPr>
        <w:spacing w:after="0" w:line="41"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7, 2026, Progress Software Corporation (the “Company”) held its annual meeting of stockholders (the “Annual Meeting”). At the Annual Meeting, the Company’s stockholders voted on the matters disclosed in the Company’s definitive Proxy Statement on Schedule 14A filed with the Securities and Exchange Commission on, and distributed to its stockholders commencing on or about, March 25, 2026, in connection with the Annual Meeting (the “Proxy Statement”). Set forth below are the final voting results for the matters submitted to a vote of stockholders at the Annual Meeting.</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nine members to the Board of Directors of the Company, to serve until the Company’s 2027 Annual Meeting of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the Company’s named executive officers as disclosed in the Proxy Statement;</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increase in the number of shares authorized for issuance under the Company’s 2008 Stock Option and Incentive Plan, as Amended and Restated;</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an increase in the number of shares authorized for issuance under the Company’s 1991 Employee Stock Purchase Plan, as Amended and Restated;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Deloitte &amp; Touche LLP as the Company’s independent registered public accounting firm for fiscal year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voting results for each matter presented to the stockholders: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10"/>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5"/>
              </w:rPr>
              <w:t>Total Vote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5"/>
              </w:rPr>
              <w:t>Total Vote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16"/>
        </w:trPr>
        <w:tc>
          <w:tcPr>
            <w:tcW w:w="2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Withheld From</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Pr>
          <w:p>
            <w:pPr>
              <w:spacing w:after="0"/>
              <w:rPr>
                <w:sz w:val="18"/>
                <w:szCs w:val="18"/>
                <w:color w:val="auto"/>
              </w:rPr>
            </w:pPr>
          </w:p>
        </w:tc>
      </w:tr>
      <w:tr>
        <w:trPr>
          <w:trHeight w:val="238"/>
        </w:trPr>
        <w:tc>
          <w:tcPr>
            <w:tcW w:w="2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Each Director</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Each Director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78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Paul T. Dacier</w:t>
            </w:r>
          </w:p>
        </w:tc>
        <w:tc>
          <w:tcPr>
            <w:tcW w:w="250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31,169,530</w:t>
            </w:r>
          </w:p>
        </w:tc>
        <w:tc>
          <w:tcPr>
            <w:tcW w:w="8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gridSpan w:val="3"/>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2,038,865</w:t>
            </w:r>
          </w:p>
        </w:tc>
        <w:tc>
          <w:tcPr>
            <w:tcW w:w="10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John R. Egan</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31,124,676</w:t>
            </w:r>
          </w:p>
        </w:tc>
        <w:tc>
          <w:tcPr>
            <w:tcW w:w="80" w:type="dxa"/>
            <w:vAlign w:val="bottom"/>
          </w:tcPr>
          <w:p>
            <w:pPr>
              <w:spacing w:after="0"/>
              <w:rPr>
                <w:sz w:val="18"/>
                <w:szCs w:val="18"/>
                <w:color w:val="auto"/>
              </w:rPr>
            </w:pPr>
          </w:p>
        </w:tc>
        <w:tc>
          <w:tcPr>
            <w:tcW w:w="27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2,083,719</w:t>
            </w:r>
          </w:p>
        </w:tc>
        <w:tc>
          <w:tcPr>
            <w:tcW w:w="100" w:type="dxa"/>
            <w:vAlign w:val="bottom"/>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Rainer Gawlick</w:t>
            </w:r>
          </w:p>
        </w:tc>
        <w:tc>
          <w:tcPr>
            <w:tcW w:w="2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32,295,438</w:t>
            </w:r>
          </w:p>
        </w:tc>
        <w:tc>
          <w:tcPr>
            <w:tcW w:w="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912,957</w:t>
            </w:r>
          </w:p>
        </w:tc>
        <w:tc>
          <w:tcPr>
            <w:tcW w:w="10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Yogesh K. Gupta</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31,990,304</w:t>
            </w:r>
          </w:p>
        </w:tc>
        <w:tc>
          <w:tcPr>
            <w:tcW w:w="80" w:type="dxa"/>
            <w:vAlign w:val="bottom"/>
          </w:tcPr>
          <w:p>
            <w:pPr>
              <w:spacing w:after="0"/>
              <w:rPr>
                <w:sz w:val="18"/>
                <w:szCs w:val="18"/>
                <w:color w:val="auto"/>
              </w:rPr>
            </w:pPr>
          </w:p>
        </w:tc>
        <w:tc>
          <w:tcPr>
            <w:tcW w:w="27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1,218,091</w:t>
            </w:r>
          </w:p>
        </w:tc>
        <w:tc>
          <w:tcPr>
            <w:tcW w:w="100" w:type="dxa"/>
            <w:vAlign w:val="bottom"/>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Charles F. Kane</w:t>
            </w:r>
          </w:p>
        </w:tc>
        <w:tc>
          <w:tcPr>
            <w:tcW w:w="2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31,255,597</w:t>
            </w:r>
          </w:p>
        </w:tc>
        <w:tc>
          <w:tcPr>
            <w:tcW w:w="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1,952,798</w:t>
            </w:r>
          </w:p>
        </w:tc>
        <w:tc>
          <w:tcPr>
            <w:tcW w:w="10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Samskriti Y. King</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32,290,374</w:t>
            </w:r>
          </w:p>
        </w:tc>
        <w:tc>
          <w:tcPr>
            <w:tcW w:w="80" w:type="dxa"/>
            <w:vAlign w:val="bottom"/>
          </w:tcPr>
          <w:p>
            <w:pPr>
              <w:spacing w:after="0"/>
              <w:rPr>
                <w:sz w:val="18"/>
                <w:szCs w:val="18"/>
                <w:color w:val="auto"/>
              </w:rPr>
            </w:pPr>
          </w:p>
        </w:tc>
        <w:tc>
          <w:tcPr>
            <w:tcW w:w="27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918,021</w:t>
            </w:r>
          </w:p>
        </w:tc>
        <w:tc>
          <w:tcPr>
            <w:tcW w:w="100" w:type="dxa"/>
            <w:vAlign w:val="bottom"/>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David A. Krall</w:t>
            </w:r>
          </w:p>
        </w:tc>
        <w:tc>
          <w:tcPr>
            <w:tcW w:w="2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31,407,753</w:t>
            </w:r>
          </w:p>
        </w:tc>
        <w:tc>
          <w:tcPr>
            <w:tcW w:w="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1,800,642</w:t>
            </w:r>
          </w:p>
        </w:tc>
        <w:tc>
          <w:tcPr>
            <w:tcW w:w="10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Angela T. Tucci</w:t>
            </w: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32,301,276</w:t>
            </w:r>
          </w:p>
        </w:tc>
        <w:tc>
          <w:tcPr>
            <w:tcW w:w="80" w:type="dxa"/>
            <w:vAlign w:val="bottom"/>
          </w:tcPr>
          <w:p>
            <w:pPr>
              <w:spacing w:after="0"/>
              <w:rPr>
                <w:sz w:val="18"/>
                <w:szCs w:val="18"/>
                <w:color w:val="auto"/>
              </w:rPr>
            </w:pPr>
          </w:p>
        </w:tc>
        <w:tc>
          <w:tcPr>
            <w:tcW w:w="27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907,119</w:t>
            </w:r>
          </w:p>
        </w:tc>
        <w:tc>
          <w:tcPr>
            <w:tcW w:w="100" w:type="dxa"/>
            <w:vAlign w:val="bottom"/>
          </w:tcPr>
          <w:p>
            <w:pPr>
              <w:spacing w:after="0"/>
              <w:rPr>
                <w:sz w:val="18"/>
                <w:szCs w:val="18"/>
                <w:color w:val="auto"/>
              </w:rPr>
            </w:pPr>
          </w:p>
        </w:tc>
        <w:tc>
          <w:tcPr>
            <w:tcW w:w="30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216"/>
        </w:trPr>
        <w:tc>
          <w:tcPr>
            <w:tcW w:w="2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Vivian M. Vitale</w:t>
            </w:r>
          </w:p>
        </w:tc>
        <w:tc>
          <w:tcPr>
            <w:tcW w:w="25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31,582,806</w:t>
            </w:r>
          </w:p>
        </w:tc>
        <w:tc>
          <w:tcPr>
            <w:tcW w:w="80" w:type="dxa"/>
            <w:vAlign w:val="bottom"/>
            <w:shd w:val="clear" w:color="auto" w:fill="CCEEFF"/>
          </w:tcPr>
          <w:p>
            <w:pPr>
              <w:spacing w:after="0"/>
              <w:rPr>
                <w:sz w:val="18"/>
                <w:szCs w:val="18"/>
                <w:color w:val="auto"/>
              </w:rPr>
            </w:pPr>
          </w:p>
        </w:tc>
        <w:tc>
          <w:tcPr>
            <w:tcW w:w="2700" w:type="dxa"/>
            <w:vAlign w:val="bottom"/>
            <w:gridSpan w:val="3"/>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1,625,589</w:t>
            </w:r>
          </w:p>
        </w:tc>
        <w:tc>
          <w:tcPr>
            <w:tcW w:w="100" w:type="dxa"/>
            <w:vAlign w:val="bottom"/>
            <w:shd w:val="clear" w:color="auto" w:fill="CCEEFF"/>
          </w:tcPr>
          <w:p>
            <w:pPr>
              <w:spacing w:after="0"/>
              <w:rPr>
                <w:sz w:val="18"/>
                <w:szCs w:val="18"/>
                <w:color w:val="auto"/>
              </w:rPr>
            </w:pPr>
          </w:p>
        </w:tc>
        <w:tc>
          <w:tcPr>
            <w:tcW w:w="30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r>
        <w:trPr>
          <w:trHeight w:val="432"/>
        </w:trPr>
        <w:tc>
          <w:tcPr>
            <w:tcW w:w="81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i w:val="1"/>
                <w:iCs w:val="1"/>
                <w:color w:val="auto"/>
                <w:w w:val="99"/>
              </w:rPr>
              <w:t>Proposal 2 – Approval, on an advisory basis, of the compensation of the Company’s named executive officers: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10"/>
        </w:trPr>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7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gridSpan w:val="2"/>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09"/>
        </w:trPr>
        <w:tc>
          <w:tcPr>
            <w:tcW w:w="27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31,236,329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1,956,233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15,833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 Approval of an increase in the number of shares authorized for issuance under the Company’s 2008 Stock Option and Incentive Plan,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3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09"/>
        </w:trPr>
        <w:tc>
          <w:tcPr>
            <w:tcW w:w="296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30,766,625</w:t>
            </w:r>
          </w:p>
        </w:tc>
        <w:tc>
          <w:tcPr>
            <w:tcW w:w="16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2,421,416</w:t>
            </w:r>
          </w:p>
        </w:tc>
        <w:tc>
          <w:tcPr>
            <w:tcW w:w="16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20,354</w:t>
            </w:r>
          </w:p>
        </w:tc>
        <w:tc>
          <w:tcPr>
            <w:tcW w:w="1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 Approval of an increase in the number of shares authorized for issuance under the Company’s 1991 Employee Stock Purchase Plan, 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3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7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52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10"/>
        </w:trPr>
        <w:tc>
          <w:tcPr>
            <w:tcW w:w="2920" w:type="dxa"/>
            <w:vAlign w:val="bottom"/>
            <w:tcBorders>
              <w:top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33,065,101</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137,046</w:t>
            </w:r>
          </w:p>
        </w:tc>
        <w:tc>
          <w:tcPr>
            <w:tcW w:w="16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6,248</w:t>
            </w:r>
          </w:p>
        </w:tc>
        <w:tc>
          <w:tcPr>
            <w:tcW w:w="16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3,894,436</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5 – Ratification of the selection of Deloitte &amp; Touche LLP as the Company’s independent registered public accounting firm for fiscal year 2026: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For</w:t>
            </w:r>
          </w:p>
        </w:tc>
        <w:tc>
          <w:tcPr>
            <w:tcW w:w="3700" w:type="dxa"/>
            <w:vAlign w:val="bottom"/>
            <w:gridSpan w:val="2"/>
          </w:tcPr>
          <w:p>
            <w:pPr>
              <w:ind w:left="14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0"/>
        </w:trPr>
        <w:tc>
          <w:tcPr>
            <w:tcW w:w="4240" w:type="dxa"/>
            <w:vAlign w:val="bottom"/>
            <w:tcBorders>
              <w:top w:val="single" w:sz="8" w:color="auto"/>
            </w:tcBorders>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rPr>
              <w:t>36,258,725</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794,673</w:t>
            </w:r>
          </w:p>
        </w:tc>
        <w:tc>
          <w:tcPr>
            <w:tcW w:w="220" w:type="dxa"/>
            <w:vAlign w:val="bottom"/>
            <w:tcBorders>
              <w:top w:val="single" w:sz="8" w:color="CCEEFF"/>
            </w:tcBorders>
            <w:shd w:val="clear" w:color="auto" w:fill="CCEEFF"/>
          </w:tcPr>
          <w:p>
            <w:pPr>
              <w:spacing w:after="0"/>
              <w:rPr>
                <w:sz w:val="18"/>
                <w:szCs w:val="18"/>
                <w:color w:val="auto"/>
              </w:rPr>
            </w:pPr>
          </w:p>
        </w:tc>
        <w:tc>
          <w:tcPr>
            <w:tcW w:w="308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49,433</w:t>
            </w:r>
          </w:p>
        </w:tc>
      </w:tr>
      <w:tr>
        <w:trPr>
          <w:trHeight w:val="621"/>
        </w:trPr>
        <w:tc>
          <w:tcPr>
            <w:tcW w:w="424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3480" w:type="dxa"/>
            <w:vAlign w:val="bottom"/>
            <w:tcBorders>
              <w:bottom w:val="single" w:sz="8" w:color="C0C0C0"/>
            </w:tcBorders>
          </w:tcPr>
          <w:p>
            <w:pPr>
              <w:spacing w:after="0"/>
              <w:rPr>
                <w:sz w:val="24"/>
                <w:szCs w:val="24"/>
                <w:color w:val="auto"/>
              </w:rPr>
            </w:pPr>
          </w:p>
        </w:tc>
        <w:tc>
          <w:tcPr>
            <w:tcW w:w="220" w:type="dxa"/>
            <w:vAlign w:val="bottom"/>
            <w:tcBorders>
              <w:bottom w:val="single" w:sz="8" w:color="C0C0C0"/>
            </w:tcBorders>
          </w:tcPr>
          <w:p>
            <w:pPr>
              <w:spacing w:after="0"/>
              <w:rPr>
                <w:sz w:val="24"/>
                <w:szCs w:val="24"/>
                <w:color w:val="auto"/>
              </w:rPr>
            </w:pPr>
          </w:p>
        </w:tc>
        <w:tc>
          <w:tcPr>
            <w:tcW w:w="3080" w:type="dxa"/>
            <w:vAlign w:val="bottom"/>
            <w:tcBorders>
              <w:bottom w:val="single" w:sz="8" w:color="C0C0C0"/>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Progress Software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2026</w:t>
      </w:r>
    </w:p>
    <w:p>
      <w:pPr>
        <w:spacing w:after="0" w:line="9"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YUFAN STEPHANIE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Times New Roman" w:cs="Times New Roman" w:eastAsia="Times New Roman" w:hAnsi="Times New Roman"/>
          <w:sz w:val="18"/>
          <w:szCs w:val="18"/>
          <w:color w:val="auto"/>
        </w:rPr>
        <w:t>YuFan Stephanie Wang</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2026-05-11T05:34:27Z</dcterms:created>
  <dcterms:modified xsi:type="dcterms:W3CDTF">2026-05-11T05:34:27Z</dcterms:modified>
</cp:coreProperties>
</file>