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2753995</wp:posOffset>
            </wp:positionH>
            <wp:positionV relativeFrom="paragraph">
              <wp:posOffset>80010</wp:posOffset>
            </wp:positionV>
            <wp:extent cx="1642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2753995</wp:posOffset>
            </wp:positionH>
            <wp:positionV relativeFrom="paragraph">
              <wp:posOffset>96520</wp:posOffset>
            </wp:positionV>
            <wp:extent cx="16427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0" w:lineRule="exact"/>
        <w:rPr>
          <w:sz w:val="24"/>
          <w:szCs w:val="24"/>
          <w:color w:val="auto"/>
        </w:rPr>
      </w:pPr>
    </w:p>
    <w:p>
      <w:pPr>
        <w:ind w:left="640" w:hanging="322"/>
        <w:spacing w:after="0"/>
        <w:tabs>
          <w:tab w:leader="none" w:pos="6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3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6"/>
          <w:szCs w:val="16"/>
          <w:color w:val="auto"/>
        </w:rPr>
        <w:t>For the fiscal year ended November 30, 2025</w:t>
      </w:r>
    </w:p>
    <w:p>
      <w:pPr>
        <w:spacing w:after="0" w:line="15" w:lineRule="exact"/>
        <w:rPr>
          <w:sz w:val="24"/>
          <w:szCs w:val="24"/>
          <w:color w:val="auto"/>
        </w:rPr>
      </w:pPr>
    </w:p>
    <w:p>
      <w:pPr>
        <w:ind w:left="5560"/>
        <w:spacing w:after="0"/>
        <w:rPr>
          <w:sz w:val="20"/>
          <w:szCs w:val="20"/>
          <w:color w:val="auto"/>
        </w:rPr>
      </w:pPr>
      <w:r>
        <w:rPr>
          <w:rFonts w:ascii="Times New Roman" w:cs="Times New Roman" w:eastAsia="Times New Roman" w:hAnsi="Times New Roman"/>
          <w:sz w:val="16"/>
          <w:szCs w:val="16"/>
          <w:color w:val="auto"/>
        </w:rPr>
        <w:t>or</w:t>
      </w:r>
    </w:p>
    <w:p>
      <w:pPr>
        <w:spacing w:after="0" w:line="106" w:lineRule="exact"/>
        <w:rPr>
          <w:sz w:val="24"/>
          <w:szCs w:val="24"/>
          <w:color w:val="auto"/>
        </w:rPr>
      </w:pPr>
    </w:p>
    <w:p>
      <w:pPr>
        <w:ind w:left="4300" w:right="2680" w:hanging="3988"/>
        <w:spacing w:after="0" w:line="424" w:lineRule="auto"/>
        <w:tabs>
          <w:tab w:leader="none" w:pos="669"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from_______to_______.</w:t>
      </w:r>
    </w:p>
    <w:p>
      <w:pPr>
        <w:spacing w:after="0" w:line="45" w:lineRule="exact"/>
        <w:rPr>
          <w:rFonts w:ascii="MS PGothic" w:cs="MS PGothic" w:eastAsia="MS PGothic" w:hAnsi="MS PGothic"/>
          <w:sz w:val="21"/>
          <w:szCs w:val="21"/>
          <w:color w:val="auto"/>
        </w:rPr>
      </w:pPr>
    </w:p>
    <w:p>
      <w:pPr>
        <w:ind w:left="4520"/>
        <w:spacing w:after="0"/>
        <w:rPr>
          <w:rFonts w:ascii="MS PGothic" w:cs="MS PGothic" w:eastAsia="MS PGothic" w:hAnsi="MS PGothic"/>
          <w:sz w:val="21"/>
          <w:szCs w:val="21"/>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0-19417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2753995</wp:posOffset>
            </wp:positionH>
            <wp:positionV relativeFrom="paragraph">
              <wp:posOffset>123190</wp:posOffset>
            </wp:positionV>
            <wp:extent cx="1642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PROGRESS SOFTWARE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2753995</wp:posOffset>
            </wp:positionH>
            <wp:positionV relativeFrom="paragraph">
              <wp:posOffset>123825</wp:posOffset>
            </wp:positionV>
            <wp:extent cx="1642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327" w:lineRule="exact"/>
        <w:rPr>
          <w:sz w:val="24"/>
          <w:szCs w:val="24"/>
          <w:color w:val="auto"/>
        </w:rPr>
      </w:pPr>
    </w:p>
    <w:tbl>
      <w:tblPr>
        <w:tblLayout w:type="fixed"/>
        <w:tblInd w:w="880" w:type="dxa"/>
        <w:tblCellMar>
          <w:top w:w="0" w:type="dxa"/>
          <w:left w:w="0" w:type="dxa"/>
          <w:bottom w:w="0" w:type="dxa"/>
          <w:right w:w="0" w:type="dxa"/>
        </w:tblCellMar>
      </w:tblPr>
      <w:tr>
        <w:trPr>
          <w:trHeight w:val="203"/>
        </w:trPr>
        <w:tc>
          <w:tcPr>
            <w:tcW w:w="5160" w:type="dxa"/>
            <w:vAlign w:val="bottom"/>
          </w:tcPr>
          <w:p>
            <w:pPr>
              <w:jc w:val="center"/>
              <w:ind w:right="144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500" w:type="dxa"/>
            <w:vAlign w:val="bottom"/>
          </w:tcPr>
          <w:p>
            <w:pPr>
              <w:jc w:val="center"/>
              <w:ind w:left="1407"/>
              <w:spacing w:after="0"/>
              <w:rPr>
                <w:sz w:val="20"/>
                <w:szCs w:val="20"/>
                <w:color w:val="auto"/>
              </w:rPr>
            </w:pPr>
            <w:r>
              <w:rPr>
                <w:rFonts w:ascii="Times New Roman" w:cs="Times New Roman" w:eastAsia="Times New Roman" w:hAnsi="Times New Roman"/>
                <w:sz w:val="16"/>
                <w:szCs w:val="16"/>
                <w:b w:val="1"/>
                <w:bCs w:val="1"/>
                <w:color w:val="auto"/>
                <w:w w:val="95"/>
              </w:rPr>
              <w:t>04-2746201</w:t>
            </w:r>
          </w:p>
        </w:tc>
      </w:tr>
      <w:tr>
        <w:trPr>
          <w:trHeight w:val="179"/>
        </w:trPr>
        <w:tc>
          <w:tcPr>
            <w:tcW w:w="5160" w:type="dxa"/>
            <w:vAlign w:val="bottom"/>
          </w:tcPr>
          <w:p>
            <w:pPr>
              <w:jc w:val="center"/>
              <w:ind w:right="1447"/>
              <w:spacing w:after="0"/>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3500" w:type="dxa"/>
            <w:vAlign w:val="bottom"/>
          </w:tcPr>
          <w:p>
            <w:pPr>
              <w:jc w:val="center"/>
              <w:ind w:left="1427"/>
              <w:spacing w:after="0"/>
              <w:rPr>
                <w:sz w:val="20"/>
                <w:szCs w:val="20"/>
                <w:color w:val="auto"/>
              </w:rPr>
            </w:pPr>
            <w:r>
              <w:rPr>
                <w:rFonts w:ascii="Times New Roman" w:cs="Times New Roman" w:eastAsia="Times New Roman" w:hAnsi="Times New Roman"/>
                <w:sz w:val="14"/>
                <w:szCs w:val="14"/>
                <w:color w:val="auto"/>
                <w:w w:val="98"/>
              </w:rPr>
              <w:t>(I.R.S. Employer Identification No.)</w:t>
            </w:r>
          </w:p>
        </w:tc>
      </w:tr>
      <w:tr>
        <w:trPr>
          <w:trHeight w:val="571"/>
        </w:trPr>
        <w:tc>
          <w:tcPr>
            <w:tcW w:w="5160" w:type="dxa"/>
            <w:vAlign w:val="bottom"/>
          </w:tcPr>
          <w:p>
            <w:pPr>
              <w:jc w:val="center"/>
              <w:ind w:right="1427"/>
              <w:spacing w:after="0"/>
              <w:rPr>
                <w:sz w:val="20"/>
                <w:szCs w:val="20"/>
                <w:color w:val="auto"/>
              </w:rPr>
            </w:pPr>
            <w:r>
              <w:rPr>
                <w:rFonts w:ascii="Times New Roman" w:cs="Times New Roman" w:eastAsia="Times New Roman" w:hAnsi="Times New Roman"/>
                <w:sz w:val="16"/>
                <w:szCs w:val="16"/>
                <w:b w:val="1"/>
                <w:bCs w:val="1"/>
                <w:color w:val="auto"/>
                <w:w w:val="96"/>
              </w:rPr>
              <w:t>15 Wayside Road, Suite 400, Burlington, Massachusetts</w:t>
            </w:r>
          </w:p>
        </w:tc>
        <w:tc>
          <w:tcPr>
            <w:tcW w:w="3500" w:type="dxa"/>
            <w:vAlign w:val="bottom"/>
          </w:tcPr>
          <w:p>
            <w:pPr>
              <w:jc w:val="center"/>
              <w:ind w:left="1427"/>
              <w:spacing w:after="0"/>
              <w:rPr>
                <w:sz w:val="20"/>
                <w:szCs w:val="20"/>
                <w:color w:val="auto"/>
              </w:rPr>
            </w:pPr>
            <w:r>
              <w:rPr>
                <w:rFonts w:ascii="Times New Roman" w:cs="Times New Roman" w:eastAsia="Times New Roman" w:hAnsi="Times New Roman"/>
                <w:sz w:val="16"/>
                <w:szCs w:val="16"/>
                <w:b w:val="1"/>
                <w:bCs w:val="1"/>
                <w:color w:val="auto"/>
                <w:w w:val="99"/>
              </w:rPr>
              <w:t>01803</w:t>
            </w:r>
          </w:p>
        </w:tc>
      </w:tr>
      <w:tr>
        <w:trPr>
          <w:trHeight w:val="179"/>
        </w:trPr>
        <w:tc>
          <w:tcPr>
            <w:tcW w:w="5160" w:type="dxa"/>
            <w:vAlign w:val="bottom"/>
          </w:tcPr>
          <w:p>
            <w:pPr>
              <w:jc w:val="center"/>
              <w:ind w:right="1427"/>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3500" w:type="dxa"/>
            <w:vAlign w:val="bottom"/>
          </w:tcPr>
          <w:p>
            <w:pPr>
              <w:jc w:val="center"/>
              <w:ind w:left="1427"/>
              <w:spacing w:after="0"/>
              <w:rPr>
                <w:sz w:val="20"/>
                <w:szCs w:val="20"/>
                <w:color w:val="auto"/>
              </w:rPr>
            </w:pPr>
            <w:r>
              <w:rPr>
                <w:rFonts w:ascii="Times New Roman" w:cs="Times New Roman" w:eastAsia="Times New Roman" w:hAnsi="Times New Roman"/>
                <w:sz w:val="14"/>
                <w:szCs w:val="14"/>
                <w:color w:val="auto"/>
                <w:w w:val="95"/>
              </w:rPr>
              <w:t>(Zip code)</w:t>
            </w:r>
          </w:p>
        </w:tc>
      </w:tr>
    </w:tbl>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s telephone number, including area code: </w:t>
      </w:r>
      <w:r>
        <w:rPr>
          <w:rFonts w:ascii="Times New Roman" w:cs="Times New Roman" w:eastAsia="Times New Roman" w:hAnsi="Times New Roman"/>
          <w:sz w:val="15"/>
          <w:szCs w:val="15"/>
          <w:b w:val="1"/>
          <w:bCs w:val="1"/>
          <w:color w:val="auto"/>
        </w:rPr>
        <w:t>(781) 280-4000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2753995</wp:posOffset>
            </wp:positionH>
            <wp:positionV relativeFrom="paragraph">
              <wp:posOffset>133985</wp:posOffset>
            </wp:positionV>
            <wp:extent cx="1642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34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Title of each class</w:t>
            </w:r>
          </w:p>
        </w:tc>
        <w:tc>
          <w:tcPr>
            <w:tcW w:w="31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color w:val="auto"/>
                <w:w w:val="95"/>
              </w:rPr>
              <w:t>Trading Symbol(s)</w:t>
            </w:r>
          </w:p>
        </w:tc>
        <w:tc>
          <w:tcPr>
            <w:tcW w:w="2880" w:type="dxa"/>
            <w:vAlign w:val="bottom"/>
            <w:gridSpan w:val="3"/>
          </w:tcPr>
          <w:p>
            <w:pPr>
              <w:jc w:val="center"/>
              <w:ind w:left="42"/>
              <w:spacing w:after="0"/>
              <w:rPr>
                <w:sz w:val="20"/>
                <w:szCs w:val="20"/>
                <w:color w:val="auto"/>
              </w:rPr>
            </w:pPr>
            <w:r>
              <w:rPr>
                <w:rFonts w:ascii="Times New Roman" w:cs="Times New Roman" w:eastAsia="Times New Roman" w:hAnsi="Times New Roman"/>
                <w:sz w:val="16"/>
                <w:szCs w:val="16"/>
                <w:color w:val="auto"/>
                <w:w w:val="97"/>
              </w:rPr>
              <w:t>Name of each exchange on which registered</w:t>
            </w:r>
          </w:p>
        </w:tc>
        <w:tc>
          <w:tcPr>
            <w:tcW w:w="0" w:type="dxa"/>
            <w:vAlign w:val="bottom"/>
          </w:tcPr>
          <w:p>
            <w:pPr>
              <w:spacing w:after="0"/>
              <w:rPr>
                <w:sz w:val="1"/>
                <w:szCs w:val="1"/>
                <w:color w:val="auto"/>
              </w:rPr>
            </w:pPr>
          </w:p>
        </w:tc>
      </w:tr>
      <w:tr>
        <w:trPr>
          <w:trHeight w:val="207"/>
        </w:trPr>
        <w:tc>
          <w:tcPr>
            <w:tcW w:w="434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31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3"/>
              </w:rPr>
              <w:t>PRGS</w:t>
            </w:r>
          </w:p>
        </w:tc>
        <w:tc>
          <w:tcPr>
            <w:tcW w:w="2880" w:type="dxa"/>
            <w:vAlign w:val="bottom"/>
            <w:gridSpan w:val="3"/>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7"/>
              </w:rPr>
              <w:t>The Nasdaq Stock Market LLC</w:t>
            </w:r>
          </w:p>
        </w:tc>
        <w:tc>
          <w:tcPr>
            <w:tcW w:w="0" w:type="dxa"/>
            <w:vAlign w:val="bottom"/>
          </w:tcPr>
          <w:p>
            <w:pPr>
              <w:spacing w:after="0"/>
              <w:rPr>
                <w:sz w:val="1"/>
                <w:szCs w:val="1"/>
                <w:color w:val="auto"/>
              </w:rPr>
            </w:pPr>
          </w:p>
        </w:tc>
      </w:tr>
      <w:tr>
        <w:trPr>
          <w:trHeight w:val="517"/>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340" w:type="dxa"/>
            <w:vAlign w:val="bottom"/>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vMerge w:val="restart"/>
          </w:tcPr>
          <w:p>
            <w:pPr>
              <w:ind w:left="3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60" w:type="dxa"/>
            <w:vAlign w:val="bottom"/>
          </w:tcPr>
          <w:p>
            <w:pPr>
              <w:spacing w:after="0"/>
              <w:rPr>
                <w:sz w:val="9"/>
                <w:szCs w:val="9"/>
                <w:color w:val="auto"/>
              </w:rPr>
            </w:pPr>
          </w:p>
        </w:tc>
        <w:tc>
          <w:tcPr>
            <w:tcW w:w="166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5"/>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8"/>
              </w:rPr>
              <w:t>Indicate by check mark if the Registrant is a well-known seasoned issuer, as defined in Rule 405 of the Securities Act.</w:t>
            </w:r>
          </w:p>
        </w:tc>
        <w:tc>
          <w:tcPr>
            <w:tcW w:w="960" w:type="dxa"/>
            <w:vAlign w:val="bottom"/>
            <w:vMerge w:val="continue"/>
          </w:tcPr>
          <w:p>
            <w:pPr>
              <w:spacing w:after="0"/>
              <w:rPr>
                <w:sz w:val="24"/>
                <w:szCs w:val="2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42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6"/>
              </w:rPr>
              <w:t>Indicate by check mark if the Registrant is not required to file reports pursuant to Section 13 or Section 15(d) of the Exchange Act. Yes</w:t>
            </w:r>
          </w:p>
        </w:tc>
        <w:tc>
          <w:tcPr>
            <w:tcW w:w="2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660" w:type="dxa"/>
            <w:vAlign w:val="bottom"/>
          </w:tcPr>
          <w:p>
            <w:pPr>
              <w:jc w:val="center"/>
              <w:ind w:right="982"/>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right="240"/>
        <w:spacing w:after="0" w:line="25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1900" w:val="left"/>
          <w:tab w:leader="none" w:pos="2500" w:val="left"/>
        </w:tabs>
        <w:rPr>
          <w:sz w:val="20"/>
          <w:szCs w:val="20"/>
          <w:color w:val="auto"/>
        </w:rPr>
      </w:pPr>
      <w:r>
        <w:rPr>
          <w:rFonts w:ascii="Times New Roman" w:cs="Times New Roman" w:eastAsia="Times New Roman" w:hAnsi="Times New Roman"/>
          <w:sz w:val="16"/>
          <w:szCs w:val="16"/>
          <w:color w:val="auto"/>
        </w:rPr>
        <w:t>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w:t>
      </w:r>
    </w:p>
    <w:p>
      <w:pPr>
        <w:spacing w:after="0" w:line="32" w:lineRule="exact"/>
        <w:rPr>
          <w:sz w:val="24"/>
          <w:szCs w:val="24"/>
          <w:color w:val="auto"/>
        </w:rPr>
      </w:pPr>
    </w:p>
    <w:p>
      <w:pPr>
        <w:spacing w:after="0" w:line="184" w:lineRule="exact"/>
        <w:tabs>
          <w:tab w:leader="none" w:pos="9960" w:val="left"/>
          <w:tab w:leader="none" w:pos="10560" w:val="left"/>
        </w:tabs>
        <w:rPr>
          <w:sz w:val="20"/>
          <w:szCs w:val="20"/>
          <w:color w:val="auto"/>
        </w:rPr>
      </w:pPr>
      <w:r>
        <w:rPr>
          <w:rFonts w:ascii="Times New Roman" w:cs="Times New Roman" w:eastAsia="Times New Roman" w:hAnsi="Times New Roman"/>
          <w:sz w:val="16"/>
          <w:szCs w:val="16"/>
          <w:color w:val="auto"/>
        </w:rPr>
        <w:t>of this 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7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8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56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r>
      <w:tr>
        <w:trPr>
          <w:trHeight w:val="285"/>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8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56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r>
      <w:tr>
        <w:trPr>
          <w:trHeight w:val="298"/>
        </w:trPr>
        <w:tc>
          <w:tcPr>
            <w:tcW w:w="2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6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r>
      <w:tr>
        <w:trPr>
          <w:trHeight w:val="451"/>
        </w:trPr>
        <w:tc>
          <w:tcPr>
            <w:tcW w:w="1088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7"/>
              </w:rPr>
              <w:t>If an emerging growth company, indicate by check mark if the Registrant has elected not to use the extended transition period for complying with any new or revised financial</w:t>
            </w:r>
          </w:p>
        </w:tc>
        <w:tc>
          <w:tcPr>
            <w:tcW w:w="360" w:type="dxa"/>
            <w:vAlign w:val="bottom"/>
          </w:tcPr>
          <w:p>
            <w:pPr>
              <w:spacing w:after="0"/>
              <w:rPr>
                <w:sz w:val="24"/>
                <w:szCs w:val="24"/>
                <w:color w:val="auto"/>
              </w:rPr>
            </w:pPr>
          </w:p>
        </w:tc>
      </w:tr>
      <w:tr>
        <w:trPr>
          <w:trHeight w:val="260"/>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accounting standards provided pursuant to Section 13(a) of the Exchange Act.</w:t>
            </w:r>
          </w:p>
        </w:tc>
        <w:tc>
          <w:tcPr>
            <w:tcW w:w="56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360" w:type="dxa"/>
            <w:vAlign w:val="bottom"/>
          </w:tcPr>
          <w:p>
            <w:pPr>
              <w:spacing w:after="0"/>
              <w:rPr>
                <w:sz w:val="22"/>
                <w:szCs w:val="22"/>
                <w:color w:val="auto"/>
              </w:rPr>
            </w:pPr>
          </w:p>
        </w:tc>
      </w:tr>
      <w:tr>
        <w:trPr>
          <w:trHeight w:val="699"/>
        </w:trPr>
        <w:tc>
          <w:tcPr>
            <w:tcW w:w="20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s assessment of the effectiveness of its internal control over financial reporting</w:t>
      </w:r>
    </w:p>
    <w:p>
      <w:pPr>
        <w:spacing w:after="0" w:line="40" w:lineRule="exact"/>
        <w:rPr>
          <w:sz w:val="20"/>
          <w:szCs w:val="20"/>
          <w:color w:val="auto"/>
        </w:rPr>
      </w:pPr>
    </w:p>
    <w:p>
      <w:pPr>
        <w:spacing w:after="0" w:line="184" w:lineRule="exact"/>
        <w:tabs>
          <w:tab w:leader="none" w:pos="11020" w:val="left"/>
        </w:tabs>
        <w:rPr>
          <w:sz w:val="20"/>
          <w:szCs w:val="20"/>
          <w:color w:val="auto"/>
        </w:rPr>
      </w:pPr>
      <w:r>
        <w:rPr>
          <w:rFonts w:ascii="Times New Roman" w:cs="Times New Roman" w:eastAsia="Times New Roman" w:hAnsi="Times New Roman"/>
          <w:sz w:val="16"/>
          <w:szCs w:val="16"/>
          <w:color w:val="auto"/>
        </w:rPr>
        <w:t>under Section 404(b) of the Sarbanes-Oxley Act (15 U.S.C. 7262(b)) by the registered public accounting firm that prepared or issued its audit report.</w:t>
      </w:r>
      <w:r>
        <w:rPr>
          <w:sz w:val="20"/>
          <w:szCs w:val="20"/>
          <w:color w:val="auto"/>
        </w:rPr>
        <w:tab/>
      </w:r>
      <w:r>
        <w:rPr>
          <w:rFonts w:ascii="MS PGothic" w:cs="MS PGothic" w:eastAsia="MS PGothic" w:hAnsi="MS PGothic"/>
          <w:sz w:val="12"/>
          <w:szCs w:val="12"/>
          <w:color w:val="auto"/>
        </w:rPr>
        <w: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w:t>
      </w:r>
    </w:p>
    <w:p>
      <w:pPr>
        <w:spacing w:after="0" w:line="41" w:lineRule="exact"/>
        <w:rPr>
          <w:sz w:val="20"/>
          <w:szCs w:val="20"/>
          <w:color w:val="auto"/>
        </w:rPr>
      </w:pPr>
    </w:p>
    <w:p>
      <w:pPr>
        <w:spacing w:after="0" w:line="184" w:lineRule="exact"/>
        <w:tabs>
          <w:tab w:leader="none" w:pos="4240" w:val="left"/>
        </w:tabs>
        <w:rPr>
          <w:sz w:val="20"/>
          <w:szCs w:val="20"/>
          <w:color w:val="auto"/>
        </w:rPr>
      </w:pPr>
      <w:r>
        <w:rPr>
          <w:rFonts w:ascii="Times New Roman" w:cs="Times New Roman" w:eastAsia="Times New Roman" w:hAnsi="Times New Roman"/>
          <w:sz w:val="16"/>
          <w:szCs w:val="16"/>
          <w:color w:val="auto"/>
        </w:rPr>
        <w:t>of an error to previously issued financial statements.</w:t>
      </w:r>
      <w:r>
        <w:rPr>
          <w:sz w:val="20"/>
          <w:szCs w:val="20"/>
          <w:color w:val="auto"/>
        </w:rPr>
        <w:tab/>
      </w:r>
      <w:r>
        <w:rPr>
          <w:rFonts w:ascii="MS PGothic" w:cs="MS PGothic" w:eastAsia="MS PGothic" w:hAnsi="MS PGothic"/>
          <w:sz w:val="14"/>
          <w:szCs w:val="14"/>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s</w:t>
      </w:r>
    </w:p>
    <w:p>
      <w:pPr>
        <w:spacing w:after="0" w:line="40" w:lineRule="exact"/>
        <w:rPr>
          <w:sz w:val="20"/>
          <w:szCs w:val="20"/>
          <w:color w:val="auto"/>
        </w:rPr>
      </w:pPr>
    </w:p>
    <w:p>
      <w:pPr>
        <w:spacing w:after="0" w:line="184" w:lineRule="exact"/>
        <w:tabs>
          <w:tab w:leader="none" w:pos="5600" w:val="left"/>
        </w:tabs>
        <w:rPr>
          <w:sz w:val="20"/>
          <w:szCs w:val="20"/>
          <w:color w:val="auto"/>
        </w:rPr>
      </w:pPr>
      <w:r>
        <w:rPr>
          <w:rFonts w:ascii="Times New Roman" w:cs="Times New Roman" w:eastAsia="Times New Roman" w:hAnsi="Times New Roman"/>
          <w:sz w:val="16"/>
          <w:szCs w:val="16"/>
          <w:color w:val="auto"/>
        </w:rPr>
        <w:t>executive officers during the relevant recovery period pursuant to §240.10D-1(b).</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200"/>
          </w:cols>
          <w:pgMar w:left="320" w:top="975" w:right="37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0" w:lineRule="exact"/>
        <w:rPr>
          <w:sz w:val="20"/>
          <w:szCs w:val="20"/>
          <w:color w:val="auto"/>
        </w:rPr>
      </w:pPr>
    </w:p>
    <w:p>
      <w:pPr>
        <w:sectPr>
          <w:pgSz w:w="11900" w:h="16838" w:orient="portrait"/>
          <w:cols w:equalWidth="0" w:num="4">
            <w:col w:w="7100" w:space="560"/>
            <w:col w:w="220" w:space="80"/>
            <w:col w:w="140" w:space="160"/>
            <w:col w:w="2940"/>
          </w:cols>
          <w:pgMar w:left="320" w:top="975" w:right="379" w:bottom="1440" w:gutter="0" w:footer="0" w:header="0"/>
          <w:type w:val="continuous"/>
        </w:sectPr>
      </w:pPr>
    </w:p>
    <w:p>
      <w:pPr>
        <w:spacing w:after="0" w:line="4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6"/>
          <w:szCs w:val="16"/>
          <w:color w:val="auto"/>
        </w:rPr>
        <w:t>As of May 31, 2025 (the last business day of the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most recently completed second fiscal quarter), the aggregate market value of voting stock held by non-affiliates of the Registrant was approximately $2,605,000,000.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January 15, 2026, there were 42,113,648 common shares outstanding.</w:t>
      </w: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 w:lineRule="exact"/>
        <w:rPr>
          <w:sz w:val="20"/>
          <w:szCs w:val="20"/>
          <w:color w:val="auto"/>
        </w:rPr>
      </w:pPr>
    </w:p>
    <w:p>
      <w:pPr>
        <w:ind w:right="400"/>
        <w:spacing w:after="0" w:line="238" w:lineRule="auto"/>
        <w:rPr>
          <w:sz w:val="20"/>
          <w:szCs w:val="20"/>
          <w:color w:val="auto"/>
        </w:rPr>
      </w:pPr>
      <w:r>
        <w:rPr>
          <w:rFonts w:ascii="Times New Roman" w:cs="Times New Roman" w:eastAsia="Times New Roman" w:hAnsi="Times New Roman"/>
          <w:sz w:val="16"/>
          <w:szCs w:val="16"/>
          <w:color w:val="auto"/>
        </w:rPr>
        <w:t>The registrant incorporates by reference portions of its definitive Proxy Statement with respect to its 2026 Annual Meeting of Stockholders, to be filed with the Securities and Exchange Commission within 120 days following the end of its fiscal year,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443230</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75"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40" w:type="dxa"/>
            <w:vAlign w:val="bottom"/>
            <w:gridSpan w:val="10"/>
          </w:tcPr>
          <w:p>
            <w:pPr>
              <w:jc w:val="center"/>
              <w:ind w:right="3740"/>
              <w:spacing w:after="0"/>
              <w:rPr>
                <w:sz w:val="20"/>
                <w:szCs w:val="20"/>
                <w:color w:val="auto"/>
              </w:rPr>
            </w:pPr>
            <w:r>
              <w:rPr>
                <w:rFonts w:ascii="Times New Roman" w:cs="Times New Roman" w:eastAsia="Times New Roman" w:hAnsi="Times New Roman"/>
                <w:sz w:val="17"/>
                <w:szCs w:val="17"/>
                <w:b w:val="1"/>
                <w:bCs w:val="1"/>
                <w:color w:val="auto"/>
              </w:rPr>
              <w:t>PROGRESS SOFTWARE CORPORATION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2"/>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0" w:type="dxa"/>
            <w:vAlign w:val="bottom"/>
            <w:gridSpan w:val="8"/>
          </w:tcPr>
          <w:p>
            <w:pPr>
              <w:jc w:val="center"/>
              <w:ind w:right="4860"/>
              <w:spacing w:after="0"/>
              <w:rPr>
                <w:sz w:val="20"/>
                <w:szCs w:val="20"/>
                <w:color w:val="auto"/>
              </w:rPr>
            </w:pPr>
            <w:r>
              <w:rPr>
                <w:rFonts w:ascii="Times New Roman" w:cs="Times New Roman" w:eastAsia="Times New Roman" w:hAnsi="Times New Roman"/>
                <w:sz w:val="17"/>
                <w:szCs w:val="17"/>
                <w:b w:val="1"/>
                <w:bCs w:val="1"/>
                <w:color w:val="auto"/>
              </w:rPr>
              <w:t>FORM 10-K</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2"/>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60" w:type="dxa"/>
            <w:vAlign w:val="bottom"/>
            <w:gridSpan w:val="12"/>
          </w:tcPr>
          <w:p>
            <w:pPr>
              <w:jc w:val="center"/>
              <w:ind w:right="2920"/>
              <w:spacing w:after="0"/>
              <w:rPr>
                <w:sz w:val="20"/>
                <w:szCs w:val="20"/>
                <w:color w:val="auto"/>
              </w:rPr>
            </w:pPr>
            <w:r>
              <w:rPr>
                <w:rFonts w:ascii="Times New Roman" w:cs="Times New Roman" w:eastAsia="Times New Roman" w:hAnsi="Times New Roman"/>
                <w:sz w:val="17"/>
                <w:szCs w:val="17"/>
                <w:b w:val="1"/>
                <w:bCs w:val="1"/>
                <w:color w:val="auto"/>
              </w:rPr>
              <w:t>FOR THE FISCAL YEAR ENDED NOVEMBER 30, 2025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2"/>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7"/>
          </w:tcPr>
          <w:p>
            <w:pPr>
              <w:jc w:val="center"/>
              <w:ind w:right="512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99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Business</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4</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8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9060" w:type="dxa"/>
            <w:vAlign w:val="bottom"/>
            <w:gridSpan w:val="18"/>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10</w:t>
            </w:r>
          </w:p>
        </w:tc>
      </w:tr>
      <w:tr>
        <w:trPr>
          <w:trHeight w:val="20"/>
        </w:trPr>
        <w:tc>
          <w:tcPr>
            <w:tcW w:w="11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1B.</w:t>
            </w:r>
          </w:p>
        </w:tc>
        <w:tc>
          <w:tcPr>
            <w:tcW w:w="19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7960" w:type="dxa"/>
            <w:vAlign w:val="bottom"/>
            <w:gridSpan w:val="12"/>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21</w:t>
            </w:r>
          </w:p>
        </w:tc>
      </w:tr>
      <w:tr>
        <w:trPr>
          <w:trHeight w:val="20"/>
        </w:trPr>
        <w:tc>
          <w:tcPr>
            <w:tcW w:w="11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1C.</w:t>
            </w:r>
          </w:p>
        </w:tc>
        <w:tc>
          <w:tcPr>
            <w:tcW w:w="19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7960" w:type="dxa"/>
            <w:vAlign w:val="bottom"/>
            <w:gridSpan w:val="12"/>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21</w:t>
            </w:r>
          </w:p>
        </w:tc>
      </w:tr>
      <w:tr>
        <w:trPr>
          <w:trHeight w:val="20"/>
        </w:trPr>
        <w:tc>
          <w:tcPr>
            <w:tcW w:w="11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Properties</w:t>
            </w:r>
          </w:p>
        </w:tc>
        <w:tc>
          <w:tcPr>
            <w:tcW w:w="260" w:type="dxa"/>
            <w:vAlign w:val="bottom"/>
            <w:gridSpan w:val="4"/>
          </w:tcPr>
          <w:p>
            <w:pPr>
              <w:spacing w:after="0"/>
              <w:rPr>
                <w:sz w:val="17"/>
                <w:szCs w:val="17"/>
                <w:color w:val="auto"/>
              </w:rPr>
            </w:pPr>
          </w:p>
        </w:tc>
        <w:tc>
          <w:tcPr>
            <w:tcW w:w="8960" w:type="dxa"/>
            <w:vAlign w:val="bottom"/>
            <w:gridSpan w:val="17"/>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22</w:t>
            </w:r>
          </w:p>
        </w:tc>
      </w:tr>
      <w:tr>
        <w:trPr>
          <w:trHeight w:val="20"/>
        </w:trPr>
        <w:tc>
          <w:tcPr>
            <w:tcW w:w="11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12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6"/>
              </w:rPr>
              <w:t>Legal Proceedings</w:t>
            </w:r>
          </w:p>
        </w:tc>
        <w:tc>
          <w:tcPr>
            <w:tcW w:w="8660" w:type="dxa"/>
            <w:vAlign w:val="bottom"/>
            <w:gridSpan w:val="16"/>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22</w:t>
            </w:r>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99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22</w:t>
            </w:r>
          </w:p>
        </w:tc>
      </w:tr>
      <w:tr>
        <w:trPr>
          <w:trHeight w:val="4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772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220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22</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12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[Reserved]</w:t>
            </w:r>
          </w:p>
        </w:tc>
        <w:tc>
          <w:tcPr>
            <w:tcW w:w="6460" w:type="dxa"/>
            <w:vAlign w:val="bottom"/>
            <w:gridSpan w:val="15"/>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23</w:t>
            </w:r>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w:t>
            </w:r>
          </w:p>
        </w:tc>
        <w:tc>
          <w:tcPr>
            <w:tcW w:w="99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24</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7A.</w:t>
            </w:r>
          </w:p>
        </w:tc>
        <w:tc>
          <w:tcPr>
            <w:tcW w:w="46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480" w:type="dxa"/>
            <w:vAlign w:val="bottom"/>
            <w:gridSpan w:val="2"/>
          </w:tcPr>
          <w:p>
            <w:pPr>
              <w:spacing w:after="0"/>
              <w:rPr>
                <w:sz w:val="17"/>
                <w:szCs w:val="17"/>
                <w:color w:val="auto"/>
              </w:rPr>
            </w:pPr>
          </w:p>
        </w:tc>
        <w:tc>
          <w:tcPr>
            <w:tcW w:w="3760" w:type="dxa"/>
            <w:vAlign w:val="bottom"/>
            <w:gridSpan w:val="4"/>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33</w:t>
            </w:r>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8.</w:t>
            </w:r>
          </w:p>
        </w:tc>
        <w:tc>
          <w:tcPr>
            <w:tcW w:w="46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5240" w:type="dxa"/>
            <w:vAlign w:val="bottom"/>
            <w:gridSpan w:val="6"/>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34</w:t>
            </w:r>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w:t>
            </w:r>
          </w:p>
        </w:tc>
        <w:tc>
          <w:tcPr>
            <w:tcW w:w="62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3720" w:type="dxa"/>
            <w:vAlign w:val="bottom"/>
            <w:gridSpan w:val="3"/>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72</w:t>
            </w:r>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9A.</w:t>
            </w:r>
          </w:p>
        </w:tc>
        <w:tc>
          <w:tcPr>
            <w:tcW w:w="62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3720" w:type="dxa"/>
            <w:vAlign w:val="bottom"/>
            <w:gridSpan w:val="3"/>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72</w:t>
            </w:r>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9B.</w:t>
            </w:r>
          </w:p>
        </w:tc>
        <w:tc>
          <w:tcPr>
            <w:tcW w:w="12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420" w:type="dxa"/>
            <w:vAlign w:val="bottom"/>
            <w:gridSpan w:val="2"/>
          </w:tcPr>
          <w:p>
            <w:pPr>
              <w:spacing w:after="0"/>
              <w:rPr>
                <w:sz w:val="17"/>
                <w:szCs w:val="17"/>
                <w:color w:val="auto"/>
              </w:rPr>
            </w:pPr>
          </w:p>
        </w:tc>
        <w:tc>
          <w:tcPr>
            <w:tcW w:w="8240" w:type="dxa"/>
            <w:vAlign w:val="bottom"/>
            <w:gridSpan w:val="14"/>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74</w:t>
            </w:r>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9C.</w:t>
            </w:r>
          </w:p>
        </w:tc>
        <w:tc>
          <w:tcPr>
            <w:tcW w:w="99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74</w:t>
            </w:r>
          </w:p>
        </w:tc>
      </w:tr>
      <w:tr>
        <w:trPr>
          <w:trHeight w:val="4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10.</w:t>
            </w:r>
          </w:p>
        </w:tc>
        <w:tc>
          <w:tcPr>
            <w:tcW w:w="392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6000" w:type="dxa"/>
            <w:vAlign w:val="bottom"/>
            <w:gridSpan w:val="8"/>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74</w:t>
            </w:r>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11.</w:t>
            </w:r>
          </w:p>
        </w:tc>
        <w:tc>
          <w:tcPr>
            <w:tcW w:w="274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1180" w:type="dxa"/>
            <w:vAlign w:val="bottom"/>
            <w:gridSpan w:val="3"/>
          </w:tcPr>
          <w:p>
            <w:pPr>
              <w:spacing w:after="0"/>
              <w:rPr>
                <w:sz w:val="17"/>
                <w:szCs w:val="17"/>
                <w:color w:val="auto"/>
              </w:rPr>
            </w:pPr>
          </w:p>
        </w:tc>
        <w:tc>
          <w:tcPr>
            <w:tcW w:w="6000" w:type="dxa"/>
            <w:vAlign w:val="bottom"/>
            <w:gridSpan w:val="8"/>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74</w:t>
            </w:r>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12.</w:t>
            </w:r>
          </w:p>
        </w:tc>
        <w:tc>
          <w:tcPr>
            <w:tcW w:w="69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2940" w:type="dxa"/>
            <w:vAlign w:val="bottom"/>
            <w:gridSpan w:val="2"/>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74</w:t>
            </w:r>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13.</w:t>
            </w:r>
          </w:p>
        </w:tc>
        <w:tc>
          <w:tcPr>
            <w:tcW w:w="5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760" w:type="dxa"/>
            <w:vAlign w:val="bottom"/>
            <w:gridSpan w:val="3"/>
          </w:tcPr>
          <w:p>
            <w:pPr>
              <w:spacing w:after="0"/>
              <w:rPr>
                <w:sz w:val="17"/>
                <w:szCs w:val="17"/>
                <w:color w:val="auto"/>
              </w:rPr>
            </w:pPr>
          </w:p>
        </w:tc>
        <w:tc>
          <w:tcPr>
            <w:tcW w:w="2940" w:type="dxa"/>
            <w:vAlign w:val="bottom"/>
            <w:gridSpan w:val="2"/>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75</w:t>
            </w:r>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14.</w:t>
            </w:r>
          </w:p>
        </w:tc>
        <w:tc>
          <w:tcPr>
            <w:tcW w:w="5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4700" w:type="dxa"/>
            <w:vAlign w:val="bottom"/>
            <w:gridSpan w:val="5"/>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75</w:t>
            </w:r>
          </w:p>
        </w:tc>
      </w:tr>
      <w:tr>
        <w:trPr>
          <w:trHeight w:val="4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15.</w:t>
            </w:r>
          </w:p>
        </w:tc>
        <w:tc>
          <w:tcPr>
            <w:tcW w:w="278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Exhibits, Financial Statement Schedules</w:t>
            </w:r>
          </w:p>
        </w:tc>
        <w:tc>
          <w:tcPr>
            <w:tcW w:w="7140" w:type="dxa"/>
            <w:vAlign w:val="bottom"/>
            <w:gridSpan w:val="10"/>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76</w:t>
            </w:r>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7140" w:type="dxa"/>
            <w:vAlign w:val="bottom"/>
            <w:gridSpan w:val="10"/>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16.</w:t>
            </w:r>
          </w:p>
        </w:tc>
        <w:tc>
          <w:tcPr>
            <w:tcW w:w="14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9"/>
              </w:rPr>
              <w:t>Form 10-K Summary</w:t>
            </w:r>
          </w:p>
        </w:tc>
        <w:tc>
          <w:tcPr>
            <w:tcW w:w="1300" w:type="dxa"/>
            <w:vAlign w:val="bottom"/>
            <w:gridSpan w:val="5"/>
          </w:tcPr>
          <w:p>
            <w:pPr>
              <w:spacing w:after="0"/>
              <w:rPr>
                <w:sz w:val="17"/>
                <w:szCs w:val="17"/>
                <w:color w:val="auto"/>
              </w:rPr>
            </w:pPr>
          </w:p>
        </w:tc>
        <w:tc>
          <w:tcPr>
            <w:tcW w:w="7140" w:type="dxa"/>
            <w:vAlign w:val="bottom"/>
            <w:gridSpan w:val="10"/>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78</w:t>
            </w:r>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8440" w:type="dxa"/>
            <w:vAlign w:val="bottom"/>
            <w:gridSpan w:val="15"/>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6"/>
        </w:trPr>
        <w:tc>
          <w:tcPr>
            <w:tcW w:w="1140" w:type="dxa"/>
            <w:vAlign w:val="bottom"/>
          </w:tcPr>
          <w:p>
            <w:pPr>
              <w:spacing w:after="0"/>
              <w:rPr>
                <w:sz w:val="24"/>
                <w:szCs w:val="24"/>
                <w:color w:val="auto"/>
              </w:rPr>
            </w:pPr>
          </w:p>
        </w:tc>
        <w:tc>
          <w:tcPr>
            <w:tcW w:w="14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8440" w:type="dxa"/>
            <w:vAlign w:val="bottom"/>
            <w:gridSpan w:val="15"/>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82"/>
              </w:rPr>
              <w:t>79</w:t>
            </w:r>
          </w:p>
        </w:tc>
      </w:tr>
      <w:tr>
        <w:trPr>
          <w:trHeight w:val="731"/>
        </w:trPr>
        <w:tc>
          <w:tcPr>
            <w:tcW w:w="1140" w:type="dxa"/>
            <w:vAlign w:val="bottom"/>
          </w:tcPr>
          <w:p>
            <w:pPr>
              <w:spacing w:after="0"/>
              <w:rPr>
                <w:sz w:val="24"/>
                <w:szCs w:val="24"/>
                <w:color w:val="auto"/>
              </w:rPr>
            </w:pPr>
          </w:p>
        </w:tc>
        <w:tc>
          <w:tcPr>
            <w:tcW w:w="720" w:type="dxa"/>
            <w:vAlign w:val="bottom"/>
            <w:tcBorders>
              <w:top w:val="single" w:sz="8" w:color="0000FF"/>
            </w:tcBorders>
            <w:gridSpan w:val="3"/>
          </w:tcPr>
          <w:p>
            <w:pPr>
              <w:spacing w:after="0"/>
              <w:rPr>
                <w:sz w:val="24"/>
                <w:szCs w:val="24"/>
                <w:color w:val="auto"/>
              </w:rPr>
            </w:pPr>
          </w:p>
        </w:tc>
        <w:tc>
          <w:tcPr>
            <w:tcW w:w="3960" w:type="dxa"/>
            <w:vAlign w:val="bottom"/>
            <w:gridSpan w:val="14"/>
          </w:tcPr>
          <w:p>
            <w:pPr>
              <w:jc w:val="center"/>
              <w:ind w:left="3474"/>
              <w:spacing w:after="0"/>
              <w:rPr>
                <w:sz w:val="20"/>
                <w:szCs w:val="20"/>
                <w:color w:val="auto"/>
              </w:rPr>
            </w:pPr>
            <w:r>
              <w:rPr>
                <w:rFonts w:ascii="Times New Roman" w:cs="Times New Roman" w:eastAsia="Times New Roman" w:hAnsi="Times New Roman"/>
                <w:sz w:val="17"/>
                <w:szCs w:val="17"/>
                <w:color w:val="auto"/>
                <w:w w:val="93"/>
              </w:rPr>
              <w:t>3</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1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CAUTIONARY STATEMENTS</w:t>
      </w:r>
    </w:p>
    <w:p>
      <w:pPr>
        <w:spacing w:after="0" w:line="2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This Annual Report on Form 10-K, and other information provided by us or statements made by our directors, officers or employees from time to time, may contain information that are "forward-looking statements" within the meaning of Section 27A of the Securities Act of 1933, as amended; Section 21E of the Securities Exchange Act of 1934, as amended; and the Private Securities Litigation Reform Act of 1995. Statements contained in this Annual Report on Form 10-K other than statements of historical fact, including statements regarding our future financial results, product offerings, business strategies, or other events that have not yet occurred, are forward-looking statements. Our use of the words "believe," "may," "could," "would," "might," "should," "expect," "intend," "plan," "target," "anticipate," "estimate," and negatives and derivatives of these or similar expressions, are intended to identify forward-looking statements. These forward-looking statements are based upon our present intent, beliefs or expectations, but are not guaranteed to occur and may not occur. Risks and uncertainties may cause actual future results to differ materially from those contained in or implied by our forward-looking statements. Factors that could cause or contribute to such differences are more fully described in Part I, Item 1A of this Annual Report on Form 10-K under the heading "Risk Factors". Although we have sought to identify the most significant risks to our business, we cannot predict whether, or to what extent, any such risks may be realized. We also cannot identify or assess the impact of all possible risks that we might face or the extent to which any risk may cause actual results to differ from those contained in any forward-looking statements. We undertake no obligation to revise or publicly release the results of any revision to any forward-looking statements that we make, except as required by law. Given these risks and uncertainties, readers are cautioned not to place undue reliance on such forward-looking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Progress Software Corporation ("Progress," the "Company," "we," "us," or "our") provides software products that enable our customers to develop, deploy, and manage responsible AI-powered applications and digital experiences with agility and ease. We operate in North America, Latin America, Europe, the Middle East and Africa ("EMEA"), and Asia and Australia ("Asia Pacific"), through local subsidiaries as well as independent distributors.</w:t>
      </w:r>
    </w:p>
    <w:p>
      <w:pPr>
        <w:spacing w:after="0" w:line="189"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7"/>
          <w:szCs w:val="17"/>
          <w:color w:val="auto"/>
        </w:rPr>
        <w:t>A key element of our strategy is centered on the goal of building and maintaining leading products and tools organizations need to build, deploy, and manage modern, strategic business applications. We offer our products and tools to both new customers and partners, as well as our existing partner and customer ecosystems.</w:t>
      </w:r>
    </w:p>
    <w:p>
      <w:pPr>
        <w:spacing w:after="0" w:line="189"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7"/>
          <w:szCs w:val="17"/>
          <w:color w:val="auto"/>
        </w:rPr>
        <w:t>Our organizational philosophy and operating principles focus primarily on customer and partner retention and success, and a streamlined operating approach to drive predictable and stable recurring revenue and high levels of profitability.</w:t>
      </w:r>
    </w:p>
    <w:p>
      <w:pPr>
        <w:spacing w:after="0" w:line="18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7"/>
          <w:szCs w:val="17"/>
          <w:color w:val="auto"/>
        </w:rPr>
        <w:t>We are pursuing a total growth strategy driven by accretive acquisitions of businesses and products that meet our strict strategic, financial, and operating criteria, which help to further our goal of providing stockholder returns. In April 2019, we acquired Ipswitch; in October 2020, we acquired Chef Software; in November 2021, we acquired Kemp Technologies; in February 2023, we acquired MarkLogic; in October 2024, we acquired ShareFile; and in June 2025, we acquired Nuclia.</w:t>
      </w:r>
    </w:p>
    <w:p>
      <w:pPr>
        <w:spacing w:after="0" w:line="207"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7"/>
          <w:szCs w:val="17"/>
          <w:color w:val="auto"/>
        </w:rPr>
        <w:t>Our capital allocation policy emphasizes accretive M&amp;A, which we believe allows us to expand our business and drive significant stockholder returns. We also utilize share repurchases to return capital to stockholders. We currently intend to continue to repurchase our shares in sufficient quantities to offset dilution from our equity plans and may elect to conduct additional repurchases based on market conditions and other factors.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Our Products</w:t>
      </w:r>
    </w:p>
    <w:p>
      <w:pPr>
        <w:spacing w:after="0" w:line="23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color w:val="auto"/>
        </w:rPr>
        <w:t>In recent years, our total growth strategy, described above, has resulted in the expansion of our product portfolio. Described below are the leading products in our portfolio.</w:t>
      </w:r>
    </w:p>
    <w:p>
      <w:pPr>
        <w:spacing w:after="0" w:line="184" w:lineRule="exact"/>
        <w:rPr>
          <w:sz w:val="20"/>
          <w:szCs w:val="20"/>
          <w:color w:val="auto"/>
        </w:rPr>
      </w:pPr>
    </w:p>
    <w:p>
      <w:pPr>
        <w:ind w:left="620" w:right="44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Progress Agentic RAG: </w:t>
      </w:r>
      <w:r>
        <w:rPr>
          <w:rFonts w:ascii="Times New Roman" w:cs="Times New Roman" w:eastAsia="Times New Roman" w:hAnsi="Times New Roman"/>
          <w:sz w:val="17"/>
          <w:szCs w:val="17"/>
          <w:color w:val="auto"/>
        </w:rPr>
        <w:t>A next-generation Agentic Rag-as-a-Service platform offering fast, flexible, and modular retrieval functionality to artificial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intelligence ("AI") agents from a wide variety of unstructured data formats.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Progress Automate MFT</w:t>
      </w:r>
      <w:r>
        <w:rPr>
          <w:rFonts w:ascii="Times New Roman" w:cs="Times New Roman" w:eastAsia="Times New Roman" w:hAnsi="Times New Roman"/>
          <w:sz w:val="17"/>
          <w:szCs w:val="17"/>
          <w:color w:val="auto"/>
        </w:rPr>
        <w:t>: Scalable, cloud-native Software-as-a-Service ("SaaS") platform for automated and secure file transfers.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Progress Chef: </w:t>
      </w:r>
      <w:r>
        <w:rPr>
          <w:rFonts w:ascii="Times New Roman" w:cs="Times New Roman" w:eastAsia="Times New Roman" w:hAnsi="Times New Roman"/>
          <w:sz w:val="17"/>
          <w:szCs w:val="17"/>
          <w:color w:val="auto"/>
        </w:rPr>
        <w:t>DevOps/DevSecOps automation software to achieve secure, continuous delivery of critical applications and infrastructure.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740" w:right="359" w:bottom="1440" w:gutter="0" w:footer="0" w:header="0"/>
        </w:sectPr>
      </w:pPr>
    </w:p>
    <w:bookmarkStart w:id="4" w:name="page5"/>
    <w:bookmarkEnd w:id="4"/>
    <w:p>
      <w:pPr>
        <w:ind w:left="620" w:right="420"/>
        <w:spacing w:after="0" w:line="293" w:lineRule="auto"/>
        <w:rPr>
          <w:sz w:val="20"/>
          <w:szCs w:val="20"/>
          <w:color w:val="auto"/>
        </w:rPr>
      </w:pPr>
      <w:r>
        <w:rPr>
          <w:rFonts w:ascii="Times New Roman" w:cs="Times New Roman" w:eastAsia="Times New Roman" w:hAnsi="Times New Roman"/>
          <w:sz w:val="17"/>
          <w:szCs w:val="17"/>
          <w:i w:val="1"/>
          <w:iCs w:val="1"/>
          <w:color w:val="auto"/>
        </w:rPr>
        <w:t>Progress Corticon</w:t>
      </w:r>
      <w:r>
        <w:rPr>
          <w:rFonts w:ascii="Times New Roman" w:cs="Times New Roman" w:eastAsia="Times New Roman" w:hAnsi="Times New Roman"/>
          <w:sz w:val="17"/>
          <w:szCs w:val="17"/>
          <w:color w:val="auto"/>
        </w:rPr>
        <w:t>: Decision automation platform to transform user experiences by streamlining and automating complex business rules using AI—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having to code.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Progress DataDirect</w:t>
      </w:r>
      <w:r>
        <w:rPr>
          <w:rFonts w:ascii="Times New Roman" w:cs="Times New Roman" w:eastAsia="Times New Roman" w:hAnsi="Times New Roman"/>
          <w:sz w:val="17"/>
          <w:szCs w:val="17"/>
          <w:color w:val="auto"/>
        </w:rPr>
        <w:t>: Secure data connectivity tools for Relational, NoSQL, Big Data, and SaaS data sources.</w:t>
      </w:r>
    </w:p>
    <w:p>
      <w:pPr>
        <w:spacing w:after="0" w:line="218" w:lineRule="exact"/>
        <w:rPr>
          <w:sz w:val="20"/>
          <w:szCs w:val="20"/>
          <w:color w:val="auto"/>
        </w:rPr>
      </w:pPr>
    </w:p>
    <w:p>
      <w:pPr>
        <w:ind w:left="620" w:right="8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Progress Developer Tools: </w:t>
      </w:r>
      <w:r>
        <w:rPr>
          <w:rFonts w:ascii="Times New Roman" w:cs="Times New Roman" w:eastAsia="Times New Roman" w:hAnsi="Times New Roman"/>
          <w:sz w:val="17"/>
          <w:szCs w:val="17"/>
          <w:color w:val="auto"/>
        </w:rPr>
        <w:t>The comprehensive software development tooling collection including .NET and JavaScript UI components for web, desktop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mobile applications, AI-prompt components, reporting and report management tools and automated testing and mocking tools.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Progress Flowmon</w:t>
      </w:r>
      <w:r>
        <w:rPr>
          <w:rFonts w:ascii="Times New Roman" w:cs="Times New Roman" w:eastAsia="Times New Roman" w:hAnsi="Times New Roman"/>
          <w:sz w:val="17"/>
          <w:szCs w:val="17"/>
          <w:color w:val="auto"/>
        </w:rPr>
        <w:t>: AI-powered network security and visibility product with automated response across hybrid cloud ecosystems.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Progress Kemp LoadMaster</w:t>
      </w:r>
      <w:r>
        <w:rPr>
          <w:rFonts w:ascii="Times New Roman" w:cs="Times New Roman" w:eastAsia="Times New Roman" w:hAnsi="Times New Roman"/>
          <w:sz w:val="17"/>
          <w:szCs w:val="17"/>
          <w:color w:val="auto"/>
        </w:rPr>
        <w:t>: Flexible application delivery and security product offering cloud-native, virtual, and hardware load balancers.</w:t>
      </w:r>
    </w:p>
    <w:p>
      <w:pPr>
        <w:spacing w:after="0" w:line="231" w:lineRule="exact"/>
        <w:rPr>
          <w:sz w:val="20"/>
          <w:szCs w:val="20"/>
          <w:color w:val="auto"/>
        </w:rPr>
      </w:pPr>
    </w:p>
    <w:p>
      <w:pPr>
        <w:ind w:left="62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Progress MarkLogic: </w:t>
      </w:r>
      <w:r>
        <w:rPr>
          <w:rFonts w:ascii="Times New Roman" w:cs="Times New Roman" w:eastAsia="Times New Roman" w:hAnsi="Times New Roman"/>
          <w:sz w:val="17"/>
          <w:szCs w:val="17"/>
          <w:color w:val="auto"/>
        </w:rPr>
        <w:t>Data agility platform to securely connect data and metadata, create and interpret meaning, and consume high-quality contextualized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data across the enterprise software system.</w:t>
      </w:r>
    </w:p>
    <w:p>
      <w:pPr>
        <w:spacing w:after="0" w:line="157" w:lineRule="exact"/>
        <w:rPr>
          <w:sz w:val="20"/>
          <w:szCs w:val="20"/>
          <w:color w:val="auto"/>
        </w:rPr>
      </w:pPr>
    </w:p>
    <w:p>
      <w:pPr>
        <w:ind w:left="620" w:right="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Progress MOVEit: </w:t>
      </w:r>
      <w:r>
        <w:rPr>
          <w:rFonts w:ascii="Times New Roman" w:cs="Times New Roman" w:eastAsia="Times New Roman" w:hAnsi="Times New Roman"/>
          <w:sz w:val="17"/>
          <w:szCs w:val="17"/>
          <w:color w:val="auto"/>
        </w:rPr>
        <w:t>Managed file transfer software for managing and controlling the movement of sensitive files, providing the ability to secure them both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at-rest and in-transit, and meeting strict compliance requirements.</w:t>
      </w:r>
    </w:p>
    <w:p>
      <w:pPr>
        <w:spacing w:after="0" w:line="183" w:lineRule="exact"/>
        <w:rPr>
          <w:sz w:val="20"/>
          <w:szCs w:val="20"/>
          <w:color w:val="auto"/>
        </w:rPr>
      </w:pPr>
    </w:p>
    <w:p>
      <w:pPr>
        <w:ind w:left="620" w:right="28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Progress OpenEdge: </w:t>
      </w:r>
      <w:r>
        <w:rPr>
          <w:rFonts w:ascii="Times New Roman" w:cs="Times New Roman" w:eastAsia="Times New Roman" w:hAnsi="Times New Roman"/>
          <w:sz w:val="17"/>
          <w:szCs w:val="17"/>
          <w:color w:val="auto"/>
        </w:rPr>
        <w:t>An application development platform for running business-critical applications needing high-performance, high availability,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flexible deployment options for extensibility, scalability, security, and performance.</w:t>
      </w:r>
    </w:p>
    <w:p>
      <w:pPr>
        <w:spacing w:after="0" w:line="170" w:lineRule="exact"/>
        <w:rPr>
          <w:sz w:val="20"/>
          <w:szCs w:val="20"/>
          <w:color w:val="auto"/>
        </w:rPr>
      </w:pPr>
    </w:p>
    <w:p>
      <w:pPr>
        <w:ind w:left="620" w:right="420"/>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Progress Semaphore: </w:t>
      </w:r>
      <w:r>
        <w:rPr>
          <w:rFonts w:ascii="Times New Roman" w:cs="Times New Roman" w:eastAsia="Times New Roman" w:hAnsi="Times New Roman"/>
          <w:sz w:val="17"/>
          <w:szCs w:val="17"/>
          <w:color w:val="auto"/>
        </w:rPr>
        <w:t>Semantic AI platform that transforms data into meaningful insights, empowering organizations to leverage RAG for accurate,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contextually relevant Gen AI responses, manage knowledge models, and to automatically extract and classify meaning from both structured and unstructured data.</w:t>
      </w:r>
    </w:p>
    <w:p>
      <w:pPr>
        <w:spacing w:after="0" w:line="167" w:lineRule="exact"/>
        <w:rPr>
          <w:sz w:val="20"/>
          <w:szCs w:val="20"/>
          <w:color w:val="auto"/>
        </w:rPr>
      </w:pPr>
    </w:p>
    <w:p>
      <w:pPr>
        <w:ind w:left="620" w:right="9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Progress ShareFile: </w:t>
      </w:r>
      <w:r>
        <w:rPr>
          <w:rFonts w:ascii="Times New Roman" w:cs="Times New Roman" w:eastAsia="Times New Roman" w:hAnsi="Times New Roman"/>
          <w:sz w:val="17"/>
          <w:szCs w:val="17"/>
          <w:color w:val="auto"/>
        </w:rPr>
        <w:t>SaaS-native AI-powered document centric collaboration platform that includes workflow automation, client portals, file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synchronization, and sharing and integrated eSignature.</w:t>
      </w:r>
    </w:p>
    <w:p>
      <w:pPr>
        <w:spacing w:after="0" w:line="170" w:lineRule="exact"/>
        <w:rPr>
          <w:sz w:val="20"/>
          <w:szCs w:val="20"/>
          <w:color w:val="auto"/>
        </w:rPr>
      </w:pPr>
    </w:p>
    <w:p>
      <w:pPr>
        <w:ind w:left="620" w:right="58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Progress Sitefinity: </w:t>
      </w:r>
      <w:r>
        <w:rPr>
          <w:rFonts w:ascii="Times New Roman" w:cs="Times New Roman" w:eastAsia="Times New Roman" w:hAnsi="Times New Roman"/>
          <w:sz w:val="17"/>
          <w:szCs w:val="17"/>
          <w:color w:val="auto"/>
        </w:rPr>
        <w:t>Digital experience platform foundation, delivering intelligent, AI-powered, ROI-driving tools for marketers and an extensible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platform for developers to create engaging, cross-channel digital experiences.</w:t>
      </w:r>
    </w:p>
    <w:p>
      <w:pPr>
        <w:spacing w:after="0" w:line="183" w:lineRule="exact"/>
        <w:rPr>
          <w:sz w:val="20"/>
          <w:szCs w:val="20"/>
          <w:color w:val="auto"/>
        </w:rPr>
      </w:pPr>
    </w:p>
    <w:p>
      <w:pPr>
        <w:ind w:left="620" w:right="360"/>
        <w:spacing w:after="0" w:line="277" w:lineRule="auto"/>
        <w:rPr>
          <w:sz w:val="20"/>
          <w:szCs w:val="20"/>
          <w:color w:val="auto"/>
        </w:rPr>
      </w:pPr>
      <w:r>
        <w:rPr>
          <w:rFonts w:ascii="Times New Roman" w:cs="Times New Roman" w:eastAsia="Times New Roman" w:hAnsi="Times New Roman"/>
          <w:sz w:val="17"/>
          <w:szCs w:val="17"/>
          <w:i w:val="1"/>
          <w:iCs w:val="1"/>
          <w:color w:val="auto"/>
        </w:rPr>
        <w:t>Progress WhatsUp Gold</w:t>
      </w:r>
      <w:r>
        <w:rPr>
          <w:rFonts w:ascii="Times New Roman" w:cs="Times New Roman" w:eastAsia="Times New Roman" w:hAnsi="Times New Roman"/>
          <w:sz w:val="17"/>
          <w:szCs w:val="17"/>
          <w:color w:val="auto"/>
        </w:rPr>
        <w:t>: Network infrastructure monitoring software providing complete visibility of all network devices, servers, virtual machines,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cloud and wireless environments to find and fix network problems.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Product Development</w:t>
      </w:r>
    </w:p>
    <w:p>
      <w:pPr>
        <w:spacing w:after="0" w:line="24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7"/>
          <w:szCs w:val="17"/>
          <w:color w:val="auto"/>
        </w:rPr>
        <w:t>We believe that the features and performance of our products are competitive with those of other available digital experience and infrastructure software products and that none of the current versions of our products are approaching obsolescence. However, we have invested, and expect to continue to invest, in new product development and enhancements of our current products to maintain our competitive position. Our primary development offices are located in Sofia, Bulgaria; Brno, Czech Republic; Bengaluru, India; Hyderabad, India; Limerick, Ireland; Manresa, Spain; Alpharetta, Georgia; Burlington, Massachusetts; Madison, Wisconsin; and Raleigh, North Carolina.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246"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7"/>
          <w:szCs w:val="17"/>
          <w:color w:val="auto"/>
        </w:rPr>
        <w:t>We sell our products globally directly to end users and through various indirect sales channels. Sales of our products through our direct sales force have historically been to business managers or IT managers in corporations and governmental agencies. We also target developers who create business applications, from individuals to teams, within enterprises of all sizes.</w:t>
      </w:r>
    </w:p>
    <w:p>
      <w:pPr>
        <w:spacing w:after="0" w:line="189"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Nearly half of our worldwide revenue is realized through relationships with indirect channel partners, principally independent software vendors ("ISVs"), original equipment manufacturers ("OEMs"), distributors, and value-added resellers ("VARs"). We use distributors and resellers, both internationally and domestically, in certain locations where we do not have a direct presence or where it is more economically or contractually feasible for us to do so.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i w:val="1"/>
          <w:iCs w:val="1"/>
          <w:color w:val="auto"/>
        </w:rPr>
        <w:t>Independent Software Vendors</w:t>
      </w:r>
    </w:p>
    <w:p>
      <w:pPr>
        <w:spacing w:after="0" w:line="24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ISVs develop and market applications using our technology and resell our products in conjunction with sales of their own products that incorporate our technology. Our ISVs cover a broad range of markets, offer an extensive library of business applications, and are a source of recurring revenue. We have kept entry costs, consisting primarily of the initial purchase of development licenses, low to encourage a wide variety of ISVs to build applications. If an ISV succeeds in marketing its applications, we obtain recurring revenue as the ISV licenses our products to allow its application to be installed and used by customers. In recent years, a significantly increasing amount of our revenue from ISVs has been generated from ISVs who have chosen to enable their business applications under a SaaS platform.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Original Equipment Manufacturers</w:t>
      </w:r>
    </w:p>
    <w:p>
      <w:pPr>
        <w:spacing w:after="0" w:line="24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OEMs are companies that embed our products into their own software products or devices. We enter into arrangements with OEMs in which the OEM embeds our products into its solutions, typically either software or technology devices. OEMs typically license the right to embed our products into their solutions and distribute those solutions for initial terms ranging from one to three years. Historically, most of our OEMs have renewed their agreements upon the expiration of the initial term.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Value Added Resellers, Systems Integrators and Distributors</w:t>
      </w:r>
    </w:p>
    <w:p>
      <w:pPr>
        <w:spacing w:after="0" w:line="233"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7"/>
          <w:szCs w:val="17"/>
          <w:color w:val="auto"/>
        </w:rPr>
        <w:t>We enter into arrangements with VARs in which the VARs add features or services to our product, then resell it as an integrated product or complete "turn-key" solution. Systems integrators typically have expertise in vertical or functional markets: they may resell our products by bundling them with their broader service offerings or refer sales opportunities to our direct sales force. Distributors resell our products, services, and support within their territories.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single customer or partner has accounted for more than 10% of our total revenue in any of our last three fiscal years.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33"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7"/>
          <w:szCs w:val="17"/>
          <w:color w:val="auto"/>
        </w:rPr>
        <w:t>Many of our products are sold as perpetual licenses, but certain products also use term licensing models, and our cloud-based offerings use a subscription-based model. We sell our products through our direct sales force and indirect channel partners. Our sales and field marketing groups are organized primarily by geographic region (i.e., North America, EMEA, Latin America, and Asia Pacific). We believe this structure allows us to maintain direct contact with our customers and partners, while supporting their diverse market requirements. Our international operations provide focused local sales, support, and marketing efforts and are able to respond directly to changes in local conditions.</w:t>
      </w:r>
    </w:p>
    <w:p>
      <w:pPr>
        <w:spacing w:after="0" w:line="20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Sales personnel are responsible for developing new direct end user accounts, recruiting new indirect channel partners and new independent distributors, managing existing channel partner relationships, and servicing existing customers.</w:t>
      </w:r>
    </w:p>
    <w:p>
      <w:pPr>
        <w:spacing w:after="0" w:line="17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7"/>
          <w:szCs w:val="17"/>
          <w:color w:val="auto"/>
        </w:rPr>
        <w:t>Our marketing personnel conduct a variety of marketing engagement programs designed to create demand for our products, enhance the market readiness of our products, raise the general awareness of our company and our products, generate leads for the sales organization, and promote our various products. These programs include public relations, industry analyst relations, digital/web marketing, demand generation, participation in trade shows, industry conferences, regional user events, and production of sales and marketing literature.</w:t>
      </w:r>
    </w:p>
    <w:p>
      <w:pPr>
        <w:spacing w:after="0" w:line="1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Our marketing efforts focus on driving traffic to our websites, generating high quality sales leads, and building visibility for our corporate and product brands. Our sales efforts then focus on converting these leads into paying customers.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Customer Support</w:t>
      </w:r>
    </w:p>
    <w:p>
      <w:pPr>
        <w:spacing w:after="0" w:line="246"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7"/>
          <w:szCs w:val="17"/>
          <w:color w:val="auto"/>
        </w:rPr>
        <w:t>Our customer support staff provides telephone, email, and web-based support to end users, application developers, and OEMs. Customers purchase maintenance services entitling them to software updates, technical support, and technical bulletins. Maintenance is generally not required with those products sold under perpetual license agreements and is purchased at the customer's option. SaaS products are sold as a subscription that includes maintenance and support. We provide support to customers primarily through our main regional customer support centers in Sofia, Bulgaria; San Jose, Costa Rica; Brno, Czech Republic; Bengaluru, India; Hyderabad, India; Limerick, Ireland; Rotterdam, The Netherlands; Singapore; Alpharetta, Georgia; Burlington, Massachusetts; Madison, Wisconsin; and Raleigh, North Carolina. Local technical support for specific products is provided in certain other countries as well.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740"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Professional Services</w:t>
      </w:r>
    </w:p>
    <w:p>
      <w:pPr>
        <w:spacing w:after="0" w:line="24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7"/>
          <w:szCs w:val="17"/>
          <w:color w:val="auto"/>
        </w:rPr>
        <w:t>Our global professional services organization delivers business solutions for customers through a combination of products, consulting, and education. Our consulting organization offers project management, implementation services, custom software development, programming, and other services. Our consulting organization also provides services to web-enable existing applications or to take advantage of the capabilities of new Progress product releases. Our education organization offers numerous training options, from traditional instructor-led courses to advanced learning modules available via the web or on digital media.</w:t>
      </w:r>
    </w:p>
    <w:p>
      <w:pPr>
        <w:spacing w:after="0" w:line="19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7"/>
          <w:szCs w:val="17"/>
          <w:color w:val="auto"/>
        </w:rPr>
        <w:t>Our services offerings include: application modernization; infrastructure automation; development operations; data management; managed database services; performance enhancements and tuning; and analytics/business intelligence.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software industry is intensely competitive. We experience significant competition from a variety of sources with respect to all of our products. We believe that certain competitive factors affect the market for our software products and services, which may include: (i) vendor and product reputation; (ii) product quality, performance and price; (iii) the availability of software products on multiple platforms; (iv) product scalability; (v) product integration with other enterprise applications; (vi) software functionality and features; (vii) software ease of use; (viii) the quality of professional services, customer support services and training; and (ix) the ability to address specific customer business problems. We believe the relative importance of each of these factors depends upon the concerns and needs of each specific customer.</w:t>
      </w:r>
    </w:p>
    <w:p>
      <w:pPr>
        <w:spacing w:after="0" w:line="19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color w:val="auto"/>
        </w:rPr>
        <w:t>We compete with multiple companies, some that have single or narrow solutions, and some that have a range of software solutions. Many companies offer platform-as-a-service, application development, data integration, and other tools in conjunction with offerings such as customer relationship management, web services, operating systems, and relational database management systems. We compete with software vendors that offer their products under a proprietary software license model, and various other vendors that offer their solutions in an open-source licensing or freely available distribution model.</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We do not believe that there is a dominant vendor in the markets in which we compete. However, some of our competitors have greater and/or more experienced financial, marketing, or technical resources than we have, or may be able to adapt more quickly to new or emerging technologies and changes in customer requirements or to devote greater resources to the development, promotion, and sale of their products than we are able. Increased competition could make it more difficult for us to maintain our revenue and market presence.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4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We rely on a combination of contractual provisions and copyright, patent, trademark, and trade secret laws to protect our proprietary rights in our products. Except as described below with respect to our Chef products, we primarily distribute or offer our products as a service under software license agreements that grant customers a nonexclusive license to use our products, but contain terms and conditions prohibiting the unauthorized reproduction, use, or transfer of our products. We generally offer our products through various models, including perpetual, term, or subscription licensing models. Our cloud or SaaS offerings are generally provided under a subscription model. We also distribute products through various channel partners, including ISVs, OEMs, and systems integrators.</w:t>
      </w:r>
    </w:p>
    <w:p>
      <w:pPr>
        <w:spacing w:after="0" w:line="194"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7"/>
          <w:szCs w:val="17"/>
          <w:color w:val="auto"/>
        </w:rPr>
        <w:t>We seek to protect the source code of our products as trade secrets and as unpublished copyrighted works. We hold numerous patents covering portions of our products. We also have several patent applications for product technologies. Where possible, we seek to obtain protection of our product names and service offerings through trademark registration and other similar procedures throughout the world. We also protect our trade secrets and other proprietary information through agreements with employees, consultants and channel partners.</w:t>
      </w:r>
    </w:p>
    <w:p>
      <w:pPr>
        <w:spacing w:after="0" w:line="20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color w:val="auto"/>
        </w:rPr>
        <w:t>Our Chef offerings incorporate software components licensed to the general public under open source licenses. We obtain many components from software developed and released by contributors to independent open source components of our offerings. Open source licenses grant licensees broad permissions to use, copy, modify, and redistribute our platform. As a result, open source development and licensing practices can limit the value of our software copyright assets.</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We believe that due to the rapid pace of innovation within our industry, factors such as the technological and creative skills of our personnel are as important in establishing and maintaining a leadership position within the industry as are the various legal protections of our technology. In addition, we believe that the nature of our customers, the importance of our products to them, and their need for continuing product support may reduce the risk of unauthorized reproduction, although no assurances can be made in this regard.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740"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Business Segment and Geographical Information</w:t>
      </w:r>
    </w:p>
    <w:p>
      <w:pPr>
        <w:spacing w:after="0" w:line="246"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color w:val="auto"/>
        </w:rPr>
        <w:t>Operating segments are components of an enterprise that engage in business activities for which discrete financial information is available and regularly reviewed by the chief operating decision maker ("CODM") in deciding how to allocate resources and assess performance. Our CODM is our Chief Executive Officer.</w:t>
      </w:r>
    </w:p>
    <w:p>
      <w:pPr>
        <w:spacing w:after="0" w:line="1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 xml:space="preserve">We operate as one operating segment: software products for the development, deployment, and management of responsible, AI-powered applications and digital experiences. Our CODM evaluates financial information on a consolidated basis. As we operate as one operating segment, the required financial segment information can be found in the consolidated financial statements. Refer to Note 12, </w:t>
      </w: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xml:space="preserve"> and Note 16, </w:t>
      </w:r>
      <w:r>
        <w:rPr>
          <w:rFonts w:ascii="Times New Roman" w:cs="Times New Roman" w:eastAsia="Times New Roman" w:hAnsi="Times New Roman"/>
          <w:sz w:val="17"/>
          <w:szCs w:val="17"/>
          <w:i w:val="1"/>
          <w:iCs w:val="1"/>
          <w:color w:val="auto"/>
        </w:rPr>
        <w:t>Segment Information and Geographic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Information, </w:t>
      </w:r>
      <w:r>
        <w:rPr>
          <w:rFonts w:ascii="Times New Roman" w:cs="Times New Roman" w:eastAsia="Times New Roman" w:hAnsi="Times New Roman"/>
          <w:sz w:val="17"/>
          <w:szCs w:val="17"/>
          <w:color w:val="auto"/>
        </w:rPr>
        <w:t>in Part II, Item 8 of this Form 10-K for information by geographic area.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46" w:lineRule="exact"/>
        <w:rPr>
          <w:sz w:val="20"/>
          <w:szCs w:val="20"/>
          <w:color w:val="auto"/>
        </w:rPr>
      </w:pPr>
    </w:p>
    <w:p>
      <w:pPr>
        <w:ind w:right="380"/>
        <w:spacing w:after="0" w:line="291" w:lineRule="auto"/>
        <w:rPr>
          <w:sz w:val="20"/>
          <w:szCs w:val="20"/>
          <w:color w:val="auto"/>
        </w:rPr>
      </w:pPr>
      <w:r>
        <w:rPr>
          <w:rFonts w:ascii="Times New Roman" w:cs="Times New Roman" w:eastAsia="Times New Roman" w:hAnsi="Times New Roman"/>
          <w:sz w:val="17"/>
          <w:szCs w:val="17"/>
          <w:color w:val="auto"/>
        </w:rPr>
        <w:t>As of November 30, 2025, we had 2,801 employees worldwide, including 932 in sales and marketing, 523 in customer support and services, 1,048 in product development and 298 in administration.</w:t>
      </w:r>
    </w:p>
    <w:p>
      <w:pPr>
        <w:spacing w:after="0" w:line="17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None of our U.S. employees are subject to a collective bargaining agreement. Employees in certain foreign jurisdictions are represented by local workers' councils and/or collective bargaining agreements, as may be customary or required in those jurisdictions. We have experienced no work stoppages and believe our relations with employees are good.</w:t>
      </w:r>
    </w:p>
    <w:p>
      <w:pPr>
        <w:spacing w:after="0" w:line="18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color w:val="auto"/>
        </w:rPr>
        <w:t>We believe that our future success largely depends upon our continued ability to attract and retain highly skilled employees. Therefore, we provide our employees with competitive compensation and benefits, opportunities for equity ownership, and development programs that enable continued learning and growth.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40404"/>
        </w:rPr>
        <w:t>Employee Engagement, Development and Training</w:t>
      </w:r>
    </w:p>
    <w:p>
      <w:pPr>
        <w:spacing w:after="0" w:line="23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7"/>
          <w:szCs w:val="17"/>
          <w:color w:val="auto"/>
        </w:rPr>
        <w:t>We invest significant resources to develop our in-house talent and deepen our employees' skill sets, both to strengthen our company and help further our employees' personal career goals. We empower our employees to drive their career aspirations and set personal development objectives in partnership with their managers. To strengthen these conversations, we train managers across the globe to partner with employees through career conversations and provide career development training for all employees so that they can successfully leverage the many tools in place to support them.</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 match the location and learning specifics of our people, we combine various channels for personal and technical development: on-demand online training including videos, webinars, classroom trainings, text-based resources, coaching, and more. We also believe strongly in fostering our employees' personal growth and offer programs like tuition reimbursement.</w:t>
      </w:r>
    </w:p>
    <w:p>
      <w:pPr>
        <w:spacing w:after="0" w:line="183"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7"/>
          <w:szCs w:val="17"/>
          <w:color w:val="auto"/>
        </w:rPr>
        <w:t>Our efforts to recruit and retain a diverse and inclusive workforce include providing competitive compensation and benefit packages worldwide and ensuring we listen to our employees. To that end, we regularly survey our employees to obtain their views and assess employee satisfaction and engagement. We use the views expressed in the surveys to influence our people strategy and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Flexible Work Approach</w:t>
      </w:r>
    </w:p>
    <w:p>
      <w:pPr>
        <w:spacing w:after="0" w:line="23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In 2021, we announced a modern approach to work that gives our employees more flexibility to choose where to work. For most of our employees, productivity is no longer tied to being in an office and collaboration can happen between people anywhere. Our view of our offices has evolved to places for collaboration and in-person interactions rather than the only places where productive work can occur. Depending on their role, this means that employees can choose their office location, as well as continue to work from home some or all the time. We expect this flexible approach will help us recruit and retain employees.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40506"/>
        </w:rPr>
        <w:t>Corporate Social Responsibility</w:t>
      </w:r>
    </w:p>
    <w:p>
      <w:pPr>
        <w:spacing w:after="0" w:line="23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7"/>
          <w:szCs w:val="17"/>
          <w:color w:val="auto"/>
        </w:rPr>
        <w:t>Progress' corporate social responsibility program, Progress for Tomorrow, reflects our commitment to responsible business practices and positive societal impact. Built on three pillars—Our People, Our Global Community, and Our Planet—the program focuses on fostering an inclusive and empowering workplace, supporting education and charitable initiatives worldwide, and advancing sustainability through emissions tracking and carbon neutrality strategies. These efforts align with our core values and reinforce our dedication to ethical governance and long-term environmental stewardship.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8" w:name="page9"/>
    <w:bookmarkEnd w:id="8"/>
    <w:p>
      <w:pPr>
        <w:ind w:right="240"/>
        <w:spacing w:after="0" w:line="250" w:lineRule="auto"/>
        <w:rPr>
          <w:sz w:val="20"/>
          <w:szCs w:val="20"/>
          <w:color w:val="auto"/>
        </w:rPr>
      </w:pPr>
      <w:r>
        <w:rPr>
          <w:rFonts w:ascii="Times New Roman" w:cs="Times New Roman" w:eastAsia="Times New Roman" w:hAnsi="Times New Roman"/>
          <w:sz w:val="17"/>
          <w:szCs w:val="17"/>
          <w:color w:val="auto"/>
        </w:rPr>
        <w:t>As a multicultural company serving a global community, we are committed to creating a culture of innovation and inspiration, where employees feel a strong sense of community and pride in the company and the successes they have helped to achieve. We encourage the development of cultural intelligence in our employees to promote a greater understanding of the unique characteristics across our global teams, which allows us to leverage multicultural teams to foster a more creative work environment and better serve our global customer base.</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3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Our Annual Report on Form 10-K, Quarterly Reports on Form 10-Q, Current Reports on Form 8-K, and amendments to those reports filed or furnished pursuant to Sections 13(a) and 15(d) of the Securities Exchange Act of 1934, as amended (the "Exchange Act"), are available free of charge on our website at www.progress.com as soon as reasonably practicable after such reports are electronically filed with, or furnished to, the Securities and Exchange Commission (the "SEC") at www.sec.gov. The information posted on our website is not incorporated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We operate in a rapidly changing environment that involves certain risks and uncertainties, some of which are beyond our control. The risks discussed below could materially affect our business, financial condition and future results. The risks described below are not the only risks we face. Additional risks and uncertainties not currently known to us or that we currently deem to be immaterial may materially adversely affect our business, financial condition or operating results in the future.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Ability to Grow Our Business</w:t>
      </w:r>
    </w:p>
    <w:p>
      <w:pPr>
        <w:spacing w:after="0" w:line="22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Technology and customer requirements evolve rapidly in our industry, and if we do not continue to develop or acquire new products and enhance our existing products in response to these changes, our business could be harmed. </w:t>
      </w:r>
      <w:r>
        <w:rPr>
          <w:rFonts w:ascii="Times New Roman" w:cs="Times New Roman" w:eastAsia="Times New Roman" w:hAnsi="Times New Roman"/>
          <w:sz w:val="17"/>
          <w:szCs w:val="17"/>
          <w:color w:val="auto"/>
        </w:rPr>
        <w:t>The markets for our products are characterized by rapid technological advancement,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the introduction of new technologies such as AI. Ongoing enhancements to our product sets (both organically and through acquisitions) will be required to enable us to maintain our competitive position and the competitive position of our ISVs, distributors/resellers, and OEMs. We may not be successful in developing and marketing enhancements to our products on a timely basis, and any enhancements we develop may not adequately address the changing needs of the marketplace. Overlaying the risks associated with our existing products and enhancements are ongoing technological developments and rapid changes in customer and partner requirements. Our future success will depend upon our ability to develop, acquire and introduce new products in a timely manner that leverage technological advances, including AI, and respond to new customer and partner requirements. We may not be successful in developing or acquiring new products that incorporate new technologies on a timely basis, and any new products we develop or acquire may not adequately address the changing needs of our customers or may not be accepted by the market. Failure to develop new products and product enhancements that meet market needs in a timely manner could have a material adverse effect on our business, financial condition, and operating results.</w:t>
      </w:r>
    </w:p>
    <w:p>
      <w:pPr>
        <w:spacing w:after="0" w:line="2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may not be successful in our artificial intelligence initiatives, which could adversely affect our business, reputation, or financial results. </w:t>
      </w:r>
      <w:r>
        <w:rPr>
          <w:rFonts w:ascii="Times New Roman" w:cs="Times New Roman" w:eastAsia="Times New Roman" w:hAnsi="Times New Roman"/>
          <w:sz w:val="17"/>
          <w:szCs w:val="17"/>
          <w:color w:val="auto"/>
        </w:rPr>
        <w:t>We have made,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expect to continue to make, investments to integrate AI into our products and update our products to enable our customers to use AI for insights, digital experiences, and applications, as well as to use AI to enhance our own engineering and business operations. Such integration and use of AI may become more important in our product offerings and operations over time. Our AI efforts may not be successful and our competitors or other third parties may incorporate AI into their offerings more successfully and efficiently than we do and achieve greater and faster adoption, which could impair our ability to compete effectively and adversely affect our business and financial results. In addition, given the rapidly developing nature of AI, we may fail to adequately adopt and adapt to technological advancements, which may have a negative impact on our product development capabilities and adversely affect our business and financial results.</w:t>
      </w:r>
    </w:p>
    <w:p>
      <w:pPr>
        <w:spacing w:after="0" w:line="219"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substantially dependent on our OpenEdge and ShareFile products. </w:t>
      </w:r>
      <w:r>
        <w:rPr>
          <w:rFonts w:ascii="Times New Roman" w:cs="Times New Roman" w:eastAsia="Times New Roman" w:hAnsi="Times New Roman"/>
          <w:sz w:val="17"/>
          <w:szCs w:val="17"/>
          <w:color w:val="auto"/>
        </w:rPr>
        <w:t>We derive a significant portion of our revenue from software license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maintenance revenue attributable to our OpenEdge product set, as well as SaaS revenue attributable to our ShareFile product set, which in fiscal year 2025 together accounted for slightly more than half of our aggregate revenue on a consolidated basis. Accordingly, our future results depend on continued market acceptance of OpenEdge and ShareFile. If consumer demand declines, or new technologies emerge that are superior to, or are more responsive to customer requirements than, OpenEdge or ShareFile, such that we are unable to maintain these products' competitive position within their respective marketplaces, our business, financial condition, and operating results may be materially adversely affected.</w:t>
      </w:r>
    </w:p>
    <w:p>
      <w:pPr>
        <w:spacing w:after="0" w:line="20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segments of the software industry in which we participate are intensely competitive, and our inability to compete effectively could harm our business. </w:t>
      </w:r>
      <w:r>
        <w:rPr>
          <w:rFonts w:ascii="Times New Roman" w:cs="Times New Roman" w:eastAsia="Times New Roman" w:hAnsi="Times New Roman"/>
          <w:sz w:val="17"/>
          <w:szCs w:val="17"/>
          <w:color w:val="auto"/>
        </w:rPr>
        <w:t>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significant competition from a variety of sources with respect to the marketing and distribution of our products. Many of our competitors have greater financial, marketing, or technical resources than we do and may be able to adapt more quickly to new or emerging technologies and changes in customer requirements, or to devote greater resources to the promotion and sale of their products, than we can. Increased competition could make it more difficult for us to maintain our market presence or lead to downward pricing pressure. In addition, current and potential competitors may make strategic acquisitions or establish cooperative relationships among themselves or with third parties, thereby increasing their ability to deliver products that better address the needs of our existing or prospective customers. Current and potential competitors may also be more successful than we are in having their products or technologies widely accepted. We may be unable to compete successfully against current and future competitors, and our failure to do so could have a material adverse effect on our business, prospects,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740" w:right="359" w:bottom="1440" w:gutter="0" w:footer="0" w:header="0"/>
        </w:sectPr>
      </w:pPr>
    </w:p>
    <w:bookmarkStart w:id="10" w:name="page11"/>
    <w:bookmarkEnd w:id="10"/>
    <w:p>
      <w:pPr>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The value of our Chef software assets may be limited by open source development and licensing practices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Chef offerings incorporate software components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licensed to the general public under open source licenses. We obtain many components from software developed and released by contributors to independent open source components of our offerings. One of the characteristics of open source software is that the governing license terms generally allow liberal modifications of the code and distribution to a wide group of companies and/or individuals. As a result, the marketplace for new products is intensely competitive and characterized by low barriers to entry because others could develop new software products or services based upon those open source programs that compete with existing open source software that we support and incorporate into our Chef products. New competitors that develop their own open source software or hybrid proprietary and open source software offerings with technological, marketing, or other competitive advantages may reduce the demand for and impose price pressure on our products, enabling them to rapidly acquire market share and limit the value of our software assets.</w:t>
      </w:r>
    </w:p>
    <w:p>
      <w:pPr>
        <w:spacing w:after="0" w:line="18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intend to make additional acquisitions of businesses, products, or technologies that involve additional risks, which could disrupt our business or harm our financial condition, results of operations, or cash flows. </w:t>
      </w:r>
      <w:r>
        <w:rPr>
          <w:rFonts w:ascii="Times New Roman" w:cs="Times New Roman" w:eastAsia="Times New Roman" w:hAnsi="Times New Roman"/>
          <w:sz w:val="17"/>
          <w:szCs w:val="17"/>
          <w:color w:val="auto"/>
        </w:rPr>
        <w:t>A key element of our total growth strategy includes the acquisition of businesses that offer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complementary products, services, and technologies, augment our revenues and cash flows, and meet our strict financial and other criteria. We may not be able to identify suitable acquisition opportunities or consummate any such transactions on favorable terms or at all. Even if an acquisition is successful, the integration of a new business involves a number of risks that could have a material adverse effect on our business, financial condition, operating results, or cash flows, including:</w:t>
      </w:r>
    </w:p>
    <w:p>
      <w:pPr>
        <w:spacing w:after="0" w:line="200" w:lineRule="exact"/>
        <w:rPr>
          <w:sz w:val="20"/>
          <w:szCs w:val="20"/>
          <w:color w:val="auto"/>
        </w:rPr>
      </w:pPr>
    </w:p>
    <w:p>
      <w:pPr>
        <w:spacing w:after="0" w:line="212" w:lineRule="exact"/>
        <w:rPr>
          <w:sz w:val="20"/>
          <w:szCs w:val="20"/>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of assimilating the operations and personnel, products, or systems of acquired companies;</w:t>
      </w:r>
    </w:p>
    <w:p>
      <w:pPr>
        <w:spacing w:after="0" w:line="3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potential inability to realize the value of the acquired assets relative to the price paid;</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distraction of our management from our ongoing businesses;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product disruptions associated with the sale of the acquired business's products;</w:t>
      </w:r>
    </w:p>
    <w:p>
      <w:pPr>
        <w:spacing w:after="0" w:line="11" w:lineRule="exact"/>
        <w:rPr>
          <w:rFonts w:ascii="Times New Roman" w:cs="Times New Roman" w:eastAsia="Times New Roman" w:hAnsi="Times New Roman"/>
          <w:sz w:val="17"/>
          <w:szCs w:val="17"/>
          <w:color w:val="auto"/>
        </w:rPr>
      </w:pPr>
    </w:p>
    <w:p>
      <w:pPr>
        <w:ind w:left="620" w:right="220" w:hanging="306"/>
        <w:spacing w:after="0" w:line="25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that an acquisition may not further our business strategy as we expected, may not result in revenue and cash flow growth to the degree we expected or at all, or may not achieve expected synergies;</w:t>
      </w: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incurring significant restructuring charges and amortization expense;</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an acquired company's cybersecurity may not have been sufficient and could cause a post-acquisition risk once integrated into our systems;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assumption of the acquired business's liabilities or any ongoing lawsuits;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impairment to assets that we recorded as a part of an acquisition, including intangible assets and goodwill; and</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we issue stock to pay for an acquisition, dilution to existing stockholders and decreased earnings per share.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Difficulties associated with any acquisitions we may pursue, and their integration, may be complicated by factors such as:</w:t>
      </w:r>
    </w:p>
    <w:p>
      <w:pPr>
        <w:spacing w:after="0" w:line="244" w:lineRule="exact"/>
        <w:rPr>
          <w:sz w:val="20"/>
          <w:szCs w:val="20"/>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the business or entity acquired;</w:t>
      </w:r>
    </w:p>
    <w:p>
      <w:pPr>
        <w:spacing w:after="0" w:line="3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geographic and cultural differences;</w:t>
      </w:r>
    </w:p>
    <w:p>
      <w:pPr>
        <w:ind w:left="620" w:right="340" w:hanging="306"/>
        <w:spacing w:after="0" w:line="24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experience operating in the industry or markets of the acquired business (e.g., satisfying the highly technical requirements of government and other quasi-public-sector customers);</w:t>
      </w: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loss of key employees and customers;</w:t>
      </w:r>
    </w:p>
    <w:p>
      <w:pPr>
        <w:spacing w:after="0" w:line="11" w:lineRule="exact"/>
        <w:rPr>
          <w:rFonts w:ascii="Times New Roman" w:cs="Times New Roman" w:eastAsia="Times New Roman" w:hAnsi="Times New Roman"/>
          <w:sz w:val="17"/>
          <w:szCs w:val="17"/>
          <w:color w:val="auto"/>
        </w:rPr>
      </w:pPr>
    </w:p>
    <w:p>
      <w:pPr>
        <w:ind w:left="620" w:right="200" w:hanging="306"/>
        <w:spacing w:after="0" w:line="25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deficiencies in internal controls at the acquired or combined business, including but not limited to any weaknesses or vulnerabilities in the acquired company's cybersecurity controls;</w:t>
      </w: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problems with the acquired business's technology;</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exposure to unanticipated liabilities of the acquired business, including any cybersecurity issues;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revenue to offset increased expenses associated with the acquisition; and</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tax consequences.</w:t>
      </w:r>
    </w:p>
    <w:p>
      <w:pPr>
        <w:spacing w:after="0" w:line="2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In addition, if we fail to complete an announced acquisition, the market price of our common stock could fall to the extent such price reflects an assumption that such acquisition will be completed, and we may incur significant unrecoverable costs. Further, the failure to consummate an acquisition may result in negative publicity and adversely impact our relationships with our customers, vendors, and employees. We may become subject to legal proceedings relating to an acquisition, and the integration of an acquired business may not be successful. Failure to manage and successfully integrate an acquired business, achieve anticipated levels of profitability of an acquired business, improve margins of an acquired business and its products, or realize other anticipated benefits of an acquisition could materially harm our business, operating results, and margins.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11" w:name="page12"/>
    <w:bookmarkEnd w:id="11"/>
    <w:p>
      <w:pPr>
        <w:ind w:right="12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Adverse developments in our relationships with sales channel partners could harm our revenues and results of operations. </w:t>
      </w:r>
      <w:r>
        <w:rPr>
          <w:rFonts w:ascii="Times New Roman" w:cs="Times New Roman" w:eastAsia="Times New Roman" w:hAnsi="Times New Roman"/>
          <w:sz w:val="17"/>
          <w:szCs w:val="17"/>
          <w:color w:val="auto"/>
        </w:rPr>
        <w:t>We recognize a substantial portion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our revenue from sales made through third parties, including our ISVs, distributors/resellers, and OEMs, and our future results depend in large part upon our continued successful distribution of our products through these channels. The activities of these third parties are not within our direct control. Our failure to manage our relationships with these third parties effectively could impair the success of our sales, marketing, and support activities. A reduction in the sales efforts, technical capabilities, or financial viability of these parties, a misalignment of interest between us and them, or a termination of our relationship with a major ISV, distributor/reseller, or OEM could have an adverse effect on our sales and financial results. Any adverse effect on any of our ISVs', distributors'/resellers', or OEMs' businesses related to competition, pricing, and other factors could also have a material adverse effect on our business, financial condition, and operating results.</w:t>
      </w:r>
    </w:p>
    <w:p>
      <w:pPr>
        <w:spacing w:after="0" w:line="194"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have relationships with third parties to provide, develop, and create applications that integrate with certain of our products, and our business could be harmed if we are unable to continue these relationships. </w:t>
      </w:r>
      <w:r>
        <w:rPr>
          <w:rFonts w:ascii="Times New Roman" w:cs="Times New Roman" w:eastAsia="Times New Roman" w:hAnsi="Times New Roman"/>
          <w:sz w:val="17"/>
          <w:szCs w:val="17"/>
          <w:color w:val="auto"/>
        </w:rPr>
        <w:t>We use software and services licensed and procured from third parties. We may need to obtain</w:t>
      </w:r>
    </w:p>
    <w:p>
      <w:pPr>
        <w:spacing w:after="0" w:line="248" w:lineRule="auto"/>
        <w:rPr>
          <w:sz w:val="20"/>
          <w:szCs w:val="20"/>
          <w:color w:val="auto"/>
        </w:rPr>
      </w:pPr>
      <w:r>
        <w:rPr>
          <w:rFonts w:ascii="Times New Roman" w:cs="Times New Roman" w:eastAsia="Times New Roman" w:hAnsi="Times New Roman"/>
          <w:sz w:val="17"/>
          <w:szCs w:val="17"/>
          <w:color w:val="auto"/>
        </w:rPr>
        <w:t>additional licenses and services from third parties to utilize the intellectual property and technology associated with the development of our products, which might not be available to us on acceptable terms, or at all. Any loss of the right to use any software or services required for the development and maintenance of our products could harm our business. Any errors or defects in third-party software or services could result in errors or a failure of our products, which could harm our business, results of operations, and financial condition.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the Operation of Our Business</w:t>
      </w:r>
    </w:p>
    <w:p>
      <w:pPr>
        <w:spacing w:after="0" w:line="22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Our international operations expose us to additional risks, and changes in global economic and political conditions could adversely affect our international operations, our revenue, and our net income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Approximately 36% of our total fiscal 2025 revenue was generated from sales outside North America. Political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and/or financial instability, tariffs, the imposition of import/export controls, or armed conflict in various regions of the world can lead to economic uncertainty and may adversely impact our business. Political instability may lead to significant, continuing volatility in global stock markets and currency exchange rate fluctuations. If customers' buying patterns, decision-making processes, timing of expected deliveries, or timing of new projects unfavorably change due to economic or political conditions, there could be a material adverse effect on our business, financial condition, and operating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potential risks inherent in our international business include:</w:t>
      </w:r>
    </w:p>
    <w:p>
      <w:pPr>
        <w:spacing w:after="0" w:line="270" w:lineRule="exact"/>
        <w:rPr>
          <w:sz w:val="20"/>
          <w:szCs w:val="20"/>
          <w:color w:val="auto"/>
        </w:rPr>
      </w:pPr>
    </w:p>
    <w:p>
      <w:pPr>
        <w:ind w:left="620" w:hanging="306"/>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payment cycles and credit and collectability risk on our accounts receivables;</w:t>
      </w:r>
    </w:p>
    <w:p>
      <w:pPr>
        <w:spacing w:after="0" w:line="5"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varying regulatory and legal requirements, including international trade and labor laws;</w:t>
      </w:r>
    </w:p>
    <w:p>
      <w:pPr>
        <w:spacing w:after="0" w:line="1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transfer of funds;</w:t>
      </w:r>
    </w:p>
    <w:p>
      <w:pPr>
        <w:spacing w:after="0" w:line="11" w:lineRule="exact"/>
        <w:rPr>
          <w:rFonts w:ascii="Times New Roman" w:cs="Times New Roman" w:eastAsia="Times New Roman" w:hAnsi="Times New Roman"/>
          <w:sz w:val="17"/>
          <w:szCs w:val="17"/>
          <w:color w:val="auto"/>
        </w:rPr>
      </w:pPr>
    </w:p>
    <w:p>
      <w:pPr>
        <w:ind w:left="620" w:right="460" w:hanging="306"/>
        <w:spacing w:after="0" w:line="24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of our international operations, including increased administrative and compliance expenses, geographical distance, and language and cultural differences;</w:t>
      </w:r>
    </w:p>
    <w:p>
      <w:pPr>
        <w:spacing w:after="0" w:line="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enforcing contractual and intellectual property rights;</w:t>
      </w:r>
    </w:p>
    <w:p>
      <w:pPr>
        <w:spacing w:after="0" w:line="1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that favor local competitors or prohibit foreign ownership of certain businesses;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reductions in business activity during the summer months in Europe and certain other parts of the world;</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instability in emerging markets;</w:t>
      </w:r>
    </w:p>
    <w:p>
      <w:pPr>
        <w:ind w:left="620" w:hanging="306"/>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regional or global health crises; and</w:t>
      </w:r>
    </w:p>
    <w:p>
      <w:pPr>
        <w:spacing w:after="0" w:line="1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adverse tax consequences.</w:t>
      </w:r>
    </w:p>
    <w:p>
      <w:pPr>
        <w:spacing w:after="0" w:line="226"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color w:val="auto"/>
        </w:rPr>
        <w:t>Any one or more of these factors could have a material adverse effect on our international operations, and, consequently, on our business, financial condition, and operating results.</w:t>
      </w:r>
    </w:p>
    <w:p>
      <w:pPr>
        <w:spacing w:after="0" w:line="15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If our security measures are breached, our products and services may be perceived as not being secure, customers may curtail or stop using our products and services, and we may incur significant legal and financial exposure from loss of customer or company data, loss of customers, or otherwise. </w:t>
      </w:r>
      <w:r>
        <w:rPr>
          <w:rFonts w:ascii="Times New Roman" w:cs="Times New Roman" w:eastAsia="Times New Roman" w:hAnsi="Times New Roman"/>
          <w:sz w:val="17"/>
          <w:szCs w:val="17"/>
          <w:color w:val="auto"/>
        </w:rPr>
        <w:t>Our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requires the storage and transmission of our proprietary information and customer information within Progress' enterprise information technology systems, which may be vulnerable to unauthorized access, distributed denial of service attacks, and other cyber-attacks. Individual and groups of hackers and sophisticated organizations, including state-sponsored organizations or nation-states, continuously undertake attacks that pose threats to our customers and our software products, and we have experienced cybersecurity incidents in which such actors have gained unauthorized access to our IT systems and data, including customer systems and data. For example, as disclosed on December 19, 2022, following the detection of irregular activity on certain portions of our corporate network, we engaged outside cybersecurity experts and other incident response professionals to conduct a forensic investigation and assess the extent and scope of the cyber incident (the "November 2022 Cyber Incident"). During the investigation, we and our external advisors uncovered evidence of unauthorized access to our corporate network, including evidence that certain Company data had been exfiltrated. As demonstrated by the November 2022 Cyber Incident, due to the actions of outside parties, employee error, malfeasance, or otherwise, an unauthorized party may obtain access to our data or our customers' data, which could result in its theft, destruction, corruption, or misappropriation and thus legal and financial exposure. Security risks in recent years have increased significantly given the increased sophistication and activities of hackers, organized crime, including state-sponsored organizations and nation-states, and other outside parties.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738" w:right="359" w:bottom="1440" w:gutter="0" w:footer="0" w:header="0"/>
        </w:sectPr>
      </w:pPr>
    </w:p>
    <w:bookmarkStart w:id="12" w:name="page13"/>
    <w:bookmarkEnd w:id="12"/>
    <w:p>
      <w:pPr>
        <w:ind w:right="20"/>
        <w:spacing w:after="0"/>
        <w:rPr>
          <w:sz w:val="20"/>
          <w:szCs w:val="20"/>
          <w:color w:val="auto"/>
        </w:rPr>
      </w:pPr>
      <w:r>
        <w:rPr>
          <w:rFonts w:ascii="Times New Roman" w:cs="Times New Roman" w:eastAsia="Times New Roman" w:hAnsi="Times New Roman"/>
          <w:sz w:val="17"/>
          <w:szCs w:val="17"/>
          <w:color w:val="auto"/>
        </w:rPr>
        <w:t>Cyber threats are continuously evolving, including through the utilization of AI, increasing the difficulty of defending against them. While we have implemented security procedures and controls aimed at addressing these threats, our security measures could be compromised, could prove to be inadequate, or could fail. Any security breach or unauthorized access could result in significant legal and financial exposure, increased costs to defend litigation, indemnity and other contractual obligations, government fines and penalties, damage to our reputation and our brand, and a loss of confidence in the security of our products and services that could potentially have an adverse effect on our business and results of operations. Breaches of our network could disrupt our internal systems and business applications, including services provided to our customers. Additionally, data breaches could compromise technical and proprietary information, harming our competitive position. We may need to spend significant capital or allocate significant resources to protect against the threat of security breaches or to address security related concerns. If an actual or perceived breach of our security occurs, the market perception of the effectiveness of our security measures could be harmed and we could lose customers. In addition, our insurance coverage may not be adequate to cover all costs related to cybersecurity incidents and the disruptions resulting from such events.</w:t>
      </w:r>
    </w:p>
    <w:p>
      <w:pPr>
        <w:spacing w:after="0" w:line="21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our products contain software defects or security flaws, it could harm our revenues by causing us to lose customers and could increase our liabilities by exposing us to costly governmental investigations or litigation. For example, the exploitation of the zero-day MOVEit Vulnerability in May 2023 has resulted in informal government inquiries, three formal government investigations, and private litigation. </w:t>
      </w:r>
      <w:r>
        <w:rPr>
          <w:rFonts w:ascii="Times New Roman" w:cs="Times New Roman" w:eastAsia="Times New Roman" w:hAnsi="Times New Roman"/>
          <w:sz w:val="17"/>
          <w:szCs w:val="17"/>
          <w:color w:val="auto"/>
        </w:rPr>
        <w:t>Our products, despite extensive testing and quality control,</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may, and at times do, contain defects, vulnerabilities, or security flaws. In the ordinary course of business, we may need to issue corrective releases of our software products to fix any defects, vulnerabilities, or security flaws. Depending upon the severity of any such matters, the detection and correction of such matters can be time consuming and costly. If any such issues are exploited by malicious threat actors, we could experience, among other things, a material adverse impact to our revenues due to loss of customers and increased liabilities due to costly governmental investigations or litigation. In addition, any such matters could affect the ability of our products to work with hardware or other software products, delay the development or release of new products or new versions of products (due to a reallocation of our internal resources), and/or adversely affect market acceptance of our products, all of which could have a material adverse effect on our operating results and cash flows.</w:t>
      </w:r>
    </w:p>
    <w:p>
      <w:pPr>
        <w:spacing w:after="0" w:line="19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As previously disclosed, on the evening of May 28, 2023, we learned that our MOVEit Transfer (the on-premise version) and MOVEit Cloud (a cloud-hosted version of MOVEit Transfer) products were attacked via a "zero-day vulnerability" that could provide for unauthorized escalated privileges and access to the customer's underlying environment (the "MOVEit Vulnerability"). A "zero-day vulnerability" is a vulnerability that has been publicly disclosed and/or exploited (e.g., by an independent researcher or threat actor) before the software vendor has an opportunity to patch it. Following the discovery of the MOVEit Vulnerability and the various remedial actions previously described, we discovered and patched additional vulnerabilities within the MOVEit Transfer and MOVEit Cloud platforms. While we are currently not aware of any evidence that these additional vulnerabilities were exploited by malicious threat actors, we cannot guarantee that we have or will uncover and/or address all vulnerabilities within the MOVEit platform or any of our other products prior to exploitation by threat actors.</w:t>
      </w:r>
    </w:p>
    <w:p>
      <w:pPr>
        <w:spacing w:after="0" w:line="2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As a result of the MOVEit Vulnerability, we are party to certain class action lawsuits filed by individuals who claim to have been impacted by the exfiltration of data from the environments of our MOVEit Transfer customers, which the Judicial Panel on Multidistrict Litigation transferred to the District of Massachusetts for coordinated and consolidated proceedings (the "MDL"). The MDL has also consolidated the insurance subrogation complaint (where an insurer is seeking recovery for expenses incurred on behalf of its insured in connection with the MOVEit Vulnerability) and, as of the date of this filing, one customer cross-claim.</w:t>
      </w:r>
    </w:p>
    <w:p>
      <w:pPr>
        <w:spacing w:after="0" w:line="18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7"/>
          <w:szCs w:val="17"/>
          <w:color w:val="auto"/>
        </w:rPr>
        <w:t>As previously disclosed, we have also cooperated with inquiries and investigations from various domestic and foreign governmental authorities (data privacy regulators, a U.S. federal law enforcement agency, the Federal Trade Commission, and the SEC), a number of which have been formally closed and, as the date of this filing, have not resulted in any prosecution or enforcement actions against us. We have also supported inquiries and investigations from several state attorneys general, one of which has been formally closed without any enforcement or regulatory actions directed against us.</w:t>
      </w:r>
    </w:p>
    <w:p>
      <w:pPr>
        <w:spacing w:after="0" w:line="19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Our financial liability arising from the MOVEit Vulnerability will depend on many factors, including the progression of the MDL and additional litigation or indemnification claims, and any settlements resulting from remaining or additional governmental or regulatory investigations; therefore, we are unable at this time to estimate the quantitative impact of any such liability with any reasonable degree of certainty. As our litigation response continues, we will continue to assess the potential impact of the MOVEit Vulnerability on our business, operations, and financial results.</w:t>
      </w:r>
    </w:p>
    <w:p>
      <w:pPr>
        <w:spacing w:after="0" w:line="19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business could be damaged, and we could be subject to liability, in the event of any unauthorized access to our data or our customers' data, including through privacy and data security breach. </w:t>
      </w:r>
      <w:r>
        <w:rPr>
          <w:rFonts w:ascii="Times New Roman" w:cs="Times New Roman" w:eastAsia="Times New Roman" w:hAnsi="Times New Roman"/>
          <w:sz w:val="17"/>
          <w:szCs w:val="17"/>
          <w:color w:val="auto"/>
        </w:rPr>
        <w:t>The use of certain of our products, including MOVEit Cloud and ShareFile, involves the transmission or storage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third-party data in our environment, some of which may be considered personally identifiable, confidential, or sensitive. In the ordinary course of business, we face security threats from malicious threat actors that could obtain unauthorized access to our systems, infrastructure, products, and networks. We anticipate that these threats will continue to grow in scope and complexity over time, particularly as the use of AI by malicious threat actors increases, we acquire new products, and a larger proportion of our revenues derive from products that transmit or store sensitive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3" w:name="page14"/>
    <w:bookmarkEnd w:id="13"/>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While we endeavor to continue mitigating security risks for our products, malicious threat actors might use techniques to exploit other zero-day vulnerabilities or use other means that we are unable to defend against in order to compromise and infiltrate our systems, infrastructure, networks, and products, including, but not limited to MOVEit or ShareFile.</w:t>
      </w:r>
    </w:p>
    <w:p>
      <w:pPr>
        <w:spacing w:after="0" w:line="18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color w:val="auto"/>
        </w:rPr>
        <w:t>While we devote significant resources to cybersecurity related matters in the operation of our business, we may fail to detect the existence of a breach and be unable to prevent unauthorized access to user and company content across our systems, infrastructure, products, and networks.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we may suffer reputational damage, our products may be perceived as insecure, and we may lose existing customers or fail to attract and retain new customers.</w:t>
      </w:r>
    </w:p>
    <w:p>
      <w:pPr>
        <w:spacing w:after="0" w:line="197"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In addition to internal resources, we frequently rely on third parties when deploying our cybersecurity related infrastructure, and in doing so, may be exposed to security risks outside of our direct control. In connection therewith, we rely on outside vendors and contractors to perform certain services necessary for the operation and testing of certain of our products, and they may fail to adequately secure our platform or discover vulnerabilities in our products.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While we have implemented security procedures and controls aimed at addressing these threats and patching vulnerabilities, our security measures could be compromised and our attempts to implement security measures and patch vulnerabilities could prove to be inadequate or could fail. Any such failure could result in significant legal and financial exposure, increased costs to defend litigation, indemnity and other contractual obligations, government fines and penalties, damage to our reputation and our brand, and a loss of confidence in the security of our products and services that could potentially have an adverse effect on our business and results of operations. In addition, our insurance coverage may not be adequate to cover all costs related to cybersecurity incidents or the exploitation of vulnerabilities as well as the disruptions and liabilities resulting from such events.</w:t>
      </w:r>
    </w:p>
    <w:p>
      <w:pPr>
        <w:spacing w:after="0" w:line="19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 failure of our information technology systems, including a cyber incident, could have a material adverse effect on our business. </w:t>
      </w:r>
      <w:r>
        <w:rPr>
          <w:rFonts w:ascii="Times New Roman" w:cs="Times New Roman" w:eastAsia="Times New Roman" w:hAnsi="Times New Roman"/>
          <w:sz w:val="17"/>
          <w:szCs w:val="17"/>
          <w:color w:val="auto"/>
        </w:rPr>
        <w:t>We rely on our technology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infrastructure, and the technology infrastructure of third parties, for many functions, including selling our products, supporting our ISVs and other third-party channels, fulfilling orders and billing, and collecting and making payments. This technology infrastructure may be vulnerable to damage or interruption from natural disasters, power loss, telecommunication failures, terrorist attacks, the outbreak of wars or other armed conflicts, the escalation of hostilities, geopolitical tensions or trade wars, acts of terrorism or "acts of God," particularly involving geographies in which we or third parties on whom we depend have operations, computer intrusions or other similar cyber intrusions, vulnerabilities and viruses, software errors, computer denial-of-service attacks, and other similar events. A significant number of the systems making up this infrastructure are not redundant, and our disaster recovery planning may not be sufficient for every eventuality. This technology infrastructure may fail or be vulnerable to damage or interruption because of actions by third parties or employee error or malfeasance. In addition, depending upon the severity of any such actions, we may not carry business interruption insurance sufficient to protect us from all losses that may result from interruptions in our services as a result of such technology infrastructure failures or provide us with the ability to cover all contingencies. Any interruption in the availability of our websites and on-line interactions with customers or partners may cause a reduction in customer or partner satisfaction levels, which in turn could cause additional claims, reduced revenue, or loss of customers or partners. Despite any precautions we may take, these problems could result in, among other consequences, a loss, destruction, corruption or misappropriation of company or customer data, loss of confidence in the stability and reliability of our offerings, damage to our reputation, and legal liability, all of which may adversely affect our business, financial condition, operating results and cash flows.</w:t>
      </w:r>
    </w:p>
    <w:p>
      <w:pPr>
        <w:spacing w:after="0" w:line="200"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Integration of artificial intelligence into our product offerings and our use of artificial intelligence in our operations could result in reputational or competitive harm, legal liability, and other adverse effects on our business. </w:t>
      </w:r>
      <w:r>
        <w:rPr>
          <w:rFonts w:ascii="Times New Roman" w:cs="Times New Roman" w:eastAsia="Times New Roman" w:hAnsi="Times New Roman"/>
          <w:sz w:val="17"/>
          <w:szCs w:val="17"/>
          <w:color w:val="auto"/>
        </w:rPr>
        <w:t>We have integrated, and plan to further integrate, AI capabilities into certain</w:t>
      </w:r>
    </w:p>
    <w:p>
      <w:pPr>
        <w:ind w:right="100"/>
        <w:spacing w:after="0" w:line="257" w:lineRule="auto"/>
        <w:rPr>
          <w:sz w:val="20"/>
          <w:szCs w:val="20"/>
          <w:color w:val="auto"/>
        </w:rPr>
      </w:pPr>
      <w:r>
        <w:rPr>
          <w:rFonts w:ascii="Times New Roman" w:cs="Times New Roman" w:eastAsia="Times New Roman" w:hAnsi="Times New Roman"/>
          <w:sz w:val="17"/>
          <w:szCs w:val="17"/>
          <w:color w:val="auto"/>
        </w:rPr>
        <w:t>components of product offerings, and we use and expect to increase the use of AI in our operations. These AI-related initiatives, whether successful or not, could cause us to incur substantial costs and could result in delays in our software release cadence. Additionally, AI algorithms may be flawed and datasets underlying AI algorithms may be insufficient or contain biased information. If the AI tools integrated into our products or that we use in our operations produce analyses or recommendations that are or are alleged to be deficient, inaccurate, or biased, our reputation, business, financial condition, and results of operations may be adversely affected.</w:t>
      </w:r>
    </w:p>
    <w:p>
      <w:pPr>
        <w:spacing w:after="0" w:line="1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Other companies have experienced cybersecurity incidents that implicate confidential and proprietary company data and/or the personal data of end users of AI applications integrated into their software offerings or used in their operations. If we were to experience a cybersecurity incident related to the integration of AI capabilities into our product offerings or our use of AI applications in our operations, our business and results of operations could be adversely affected. AI also presents various emerging legal, regulatory and ethical issues, and the incorporation of AI into our product offerings and our use of AI applications in our operations could require us to expend significant resources in developing, testing and maintaining our product offerings and may cause us to experience brand, reputational, or competitive harm, or incur legal liability. Any legislation concerning AI adopted domestically or globally may make it harder for us to conduct our business using AI, lead to regulatory fines or penalties, require us to change our product offerings or business practices, or prevent or limit our use of AI.</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Catastrophic events, including but not limited to cyber events, may disrupt our business. </w:t>
      </w:r>
      <w:r>
        <w:rPr>
          <w:rFonts w:ascii="Times New Roman" w:cs="Times New Roman" w:eastAsia="Times New Roman" w:hAnsi="Times New Roman"/>
          <w:sz w:val="17"/>
          <w:szCs w:val="17"/>
          <w:color w:val="auto"/>
        </w:rPr>
        <w:t>We rely on our network infrastructure and enterprise applications,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internal technology systems, and websites for our development, marketing, operations, support, and sales activities. In addition, we rely on third-party hosted services, and we do not control the operation of third-party data center facilities, which increases our vulnerability. A disruption, infiltration or failure of these systems or third-party hosted services in the event of a major earthquake, fire, flood, tsunami or other weather event, power loss, telecommunications failure, software or hardware malfunction, pandemic, cyber-attack or other similar interruption to our business, war, terrorist attack, or other catastrophic event that our disaster recovery plans do not adequately address, could cause system interruptions, reputational harm, loss of intellectual property, delays in our product development, lengthy interruptions in our services, breaches of data security and loss, destruction, misappropriation, or corruption of critical company or customer data. A catastrophic event that results in the loss, destruction, misappropriation, corruption or disruption of any of our data, our customers' data, or our data centers or our critical business or information technology systems could severely affect our ability to conduct normal business operations and, as a result, our future operating results could be adversely affected, and the adverse effects of any such catastrophic event would be exacerbated if experienced at the same time as another unexpected and adverse event.</w:t>
      </w:r>
    </w:p>
    <w:p>
      <w:pPr>
        <w:spacing w:after="0" w:line="200" w:lineRule="exact"/>
        <w:rPr>
          <w:sz w:val="20"/>
          <w:szCs w:val="20"/>
          <w:color w:val="auto"/>
        </w:rPr>
      </w:pPr>
    </w:p>
    <w:p>
      <w:pPr>
        <w:spacing w:after="0" w:line="2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We also depend on third-party service providers to provide the data centers and other infrastructure necessary to certain of our products. Any disruption in the services provided by these third parties or any failure to renew the services could adversely affect the performance of products or result in a loss of user content, resulting in harm to our business and reputation. Customers rely on certain of our products to transfer or process their content. The infrastructure on which our products rely may not be adequately designed with sufficient reliability and redundancy to avoid performance delays or outages and/or may not be scalable to meet increasing user demands. If our products are unavailable when users attempt to access them, or if the products do not load or perform as quickly as users expect, they may decrease or discontinue their use of our products, which could be harmful to our business, results of operations, and financial condition. Our third-party service providers along with their data centers and other facilities are also vulnerable to damage or interruption from human error, intentional bad acts, security breaches, and other catastrophic events, any of which could disrupt the availability of our products and/or compromise or destroy user content, which could be harmful to our business, results of operations, and financial condition.</w:t>
      </w:r>
    </w:p>
    <w:p>
      <w:pPr>
        <w:spacing w:after="0" w:line="200"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have relationships with third parties to provide, develop, and create applications that integrate with certain of our products, and our business could be harmed if we are unable to continue these relationships. </w:t>
      </w:r>
      <w:r>
        <w:rPr>
          <w:rFonts w:ascii="Times New Roman" w:cs="Times New Roman" w:eastAsia="Times New Roman" w:hAnsi="Times New Roman"/>
          <w:sz w:val="17"/>
          <w:szCs w:val="17"/>
          <w:color w:val="auto"/>
        </w:rPr>
        <w:t>We use software and services licensed and procured from third parties. We may need to obtain</w:t>
      </w:r>
    </w:p>
    <w:p>
      <w:pPr>
        <w:ind w:right="20"/>
        <w:spacing w:after="0" w:line="248" w:lineRule="auto"/>
        <w:rPr>
          <w:sz w:val="20"/>
          <w:szCs w:val="20"/>
          <w:color w:val="auto"/>
        </w:rPr>
      </w:pPr>
      <w:r>
        <w:rPr>
          <w:rFonts w:ascii="Times New Roman" w:cs="Times New Roman" w:eastAsia="Times New Roman" w:hAnsi="Times New Roman"/>
          <w:sz w:val="17"/>
          <w:szCs w:val="17"/>
          <w:color w:val="auto"/>
        </w:rPr>
        <w:t>additional licenses and services from third parties to utilize the intellectual property and technology associated with the development of our products, which might not be available to us on acceptable terms, or at all. Any loss of the right to use any software or services required for the development and maintenance of our products could harm our business. Any errors or defects in third-party software or services could result in errors or a failure of our products, which could harm our business, results of operations, and financial condition.</w:t>
      </w:r>
    </w:p>
    <w:p>
      <w:pPr>
        <w:spacing w:after="0" w:line="19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customers and partners may seek refunds, delay implementation timelines, delay payment, fail to pay us in accordance with the terms of their agreements, decline renewals or upgrades, or reduce or terminate use of our products, all of which can have an adverse effect on us. </w:t>
      </w:r>
      <w:r>
        <w:rPr>
          <w:rFonts w:ascii="Times New Roman" w:cs="Times New Roman" w:eastAsia="Times New Roman" w:hAnsi="Times New Roman"/>
          <w:sz w:val="17"/>
          <w:szCs w:val="17"/>
          <w:color w:val="auto"/>
        </w:rPr>
        <w:t>Customers and partners may not renew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reduce their use of our products due to various factors, such as dissatisfaction with our products (including features, user experience, or support), pricing, no longer having a need for our products, the availability of competitive products, or the impact of macroeconomic trends or catastrophic events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Our business depends on our ability to retain and expand relationships with customers, and any decline in renewals or failure to expand business relationships with customers consistent with our past experience could adversely affect our future results of operations. Moreover, if customers or partners seek refunds, delay implementation of our products, delay payment, fail to pay us under the terms of our agreements, or terminate use of our products, we may be adversely affected both from the inability to collect amounts due and the cost of enforcing the terms of our contracts (including litigation related thereto).</w:t>
      </w:r>
    </w:p>
    <w:p>
      <w:pPr>
        <w:spacing w:after="0" w:line="198"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7"/>
          <w:szCs w:val="17"/>
          <w:color w:val="auto"/>
        </w:rPr>
        <w:t>In addition, in the ordinary course of business, some of our customers and partners may seek bankruptcy protection or other similar relief and fail to pay amounts due to us, or pay those amounts more slowly, either of which could adversely affect our operating results, financial position and cash flow.</w:t>
      </w:r>
    </w:p>
    <w:p>
      <w:pPr>
        <w:spacing w:after="0" w:line="16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rely on the experience and expertise of our skilled employees, and must continue to attract and retain qualified technical, marketing and managerial personnel in order to succeed. </w:t>
      </w:r>
      <w:r>
        <w:rPr>
          <w:rFonts w:ascii="Times New Roman" w:cs="Times New Roman" w:eastAsia="Times New Roman" w:hAnsi="Times New Roman"/>
          <w:sz w:val="17"/>
          <w:szCs w:val="17"/>
          <w:color w:val="auto"/>
        </w:rPr>
        <w:t>Our future success will depend in large part upon our ability to attract and retain highly skilled technical, managerial, sales,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marketing personnel. There is significant competition for such personnel in the software industry. We may not continue to be successful in attracting and retaining the personnel we require to develop new and enhanced products and to continue to grow and operate profitably.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 w:name="page16"/>
    <w:bookmarkEnd w:id="15"/>
    <w:p>
      <w:pPr>
        <w:ind w:right="100"/>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Certain of our products depend on interoperability with various devices, operating systems, and third-party applications that we do not control. </w:t>
      </w:r>
      <w:r>
        <w:rPr>
          <w:rFonts w:ascii="Times New Roman" w:cs="Times New Roman" w:eastAsia="Times New Roman" w:hAnsi="Times New Roman"/>
          <w:sz w:val="17"/>
          <w:szCs w:val="17"/>
          <w:color w:val="auto"/>
        </w:rPr>
        <w:t>An important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feature of many of our products is their compatibility with a wide range of devices, operating systems, and third-party applications. Such products depend on accessibility across these third-party systems and applications, which are constantly evolving and usually outside of our control. We may not always be able to modify our products to ensure compatibility with these third-party services following their updates and upgrades. If we cannot ensure compatibility, our business, results of operations, and financial condition could be adversely affected.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Laws and Regulations</w:t>
      </w:r>
    </w:p>
    <w:p>
      <w:pPr>
        <w:spacing w:after="0" w:line="22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subject to risks associated with compliance with laws and regulations globally, which may harm our business. </w:t>
      </w:r>
      <w:r>
        <w:rPr>
          <w:rFonts w:ascii="Times New Roman" w:cs="Times New Roman" w:eastAsia="Times New Roman" w:hAnsi="Times New Roman"/>
          <w:sz w:val="17"/>
          <w:szCs w:val="17"/>
          <w:color w:val="auto"/>
        </w:rPr>
        <w:t>We are a global company subject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varied and complex laws, regulations, and customs, both domestically and internationally. These laws and regulations relate to many core aspects of our business, including data privacy or related privacy practices, AI, corporate governance, securities regulations, anti-trust and competition, anti-corruption, sanctions and trade protection, and import and export control. The application of these laws and regulations to our business is often unclear and may at times conflict on a domestic or international basis. For example, data privacy and AI regulations are evolving rapidly in many jurisdictions, often with extremely punitive penalties. Compliance with these laws and regulations may involve significant costs or require changes in our business practices that result in reduced revenue and profitability. Non-compliance could also result in fines, damages, criminal sanctions against us, our officers or our employees, prohibitions on the conduct of our business, and damage to our reputation.</w:t>
      </w:r>
    </w:p>
    <w:p>
      <w:pPr>
        <w:spacing w:after="0" w:line="39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business practices with respect to the collection, use, and management of personal information could give rise to operational interruption, liabilities, or reputational harm as a result of governmental regulation, legal requirements, or industry standards relating to consumer privacy and data protection. </w:t>
      </w:r>
      <w:r>
        <w:rPr>
          <w:rFonts w:ascii="Times New Roman" w:cs="Times New Roman" w:eastAsia="Times New Roman" w:hAnsi="Times New Roman"/>
          <w:sz w:val="17"/>
          <w:szCs w:val="17"/>
          <w:color w:val="auto"/>
        </w:rPr>
        <w:t>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regulatory focus on privacy issues continues to increase and worldwide laws and regulations concerning the handling of personal information expand and become more complex, potential risks related to data collection and use within our business will intensify. For example, the regulatory environment applicable to the handling of the European Economic Area ("EEA") residents' personal data, which is governed by the General Data Protection Regulation of 2018 ("GDPR") and/or respectively the national data protection laws of United Kingdom, Switzerland, and other countries in which we operate, may cause us to assume additional liabilities, obligations or incur additional costs, and could result in our business, operating results and financial condition being harmed. Additionally, we and our customers may face a risk of enforcement actions by the competent data protection authorities relating to personal data transfers to us and by us from the EEA and other jurisdictions which have country specific data transfer requirements. Any such enforcement actions could result in substantial costs and diversion of resources, distract management and technical personnel and adversely affect our business, operating results and financial condition.</w:t>
      </w:r>
    </w:p>
    <w:p>
      <w:pPr>
        <w:spacing w:after="0" w:line="201" w:lineRule="exact"/>
        <w:rPr>
          <w:sz w:val="20"/>
          <w:szCs w:val="20"/>
          <w:color w:val="auto"/>
        </w:rPr>
      </w:pPr>
    </w:p>
    <w:p>
      <w:pPr>
        <w:jc w:val="both"/>
        <w:ind w:right="220"/>
        <w:spacing w:after="0" w:line="247" w:lineRule="auto"/>
        <w:rPr>
          <w:sz w:val="20"/>
          <w:szCs w:val="20"/>
          <w:color w:val="auto"/>
        </w:rPr>
      </w:pPr>
      <w:r>
        <w:rPr>
          <w:rFonts w:ascii="Times New Roman" w:cs="Times New Roman" w:eastAsia="Times New Roman" w:hAnsi="Times New Roman"/>
          <w:sz w:val="17"/>
          <w:szCs w:val="17"/>
          <w:color w:val="auto"/>
        </w:rPr>
        <w:t>In addition, governmental entities in the U.S. and other countries have enacted or are considering enacting legislation or regulations or may in the near future interpret existing legislation or regulations, in a manner that could significantly impact our ability and the ability of our customers and data partners to collect, augment, analyze, use, transfer, and share personal and other information that is integral to certain business functions. For example, approximately twenty U.S. state legislatures have implemented varying privacy laws and regulations, or are considering implementing legislation that we expect to become effective in the near term. Moreover, several privacy bills are under congressional review at the U.S. federal level.</w:t>
      </w:r>
    </w:p>
    <w:p>
      <w:pPr>
        <w:spacing w:after="0" w:line="18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color w:val="auto"/>
        </w:rPr>
        <w:t>Changes in laws or regulations associated with the enhanced protection of certain types of sensitive data, such as healthcare data or other personal information, could greatly increase our cost of providing our products and services or even prevent us from offering certain services in jurisdictions that we operate. Regulators globally are also imposing greater monetary fines for privacy violations (e.g., non-compliance with the GDPR may result in monetary penalties of up to 4% of worldwide revenue). Additionally, public perception and standards related to the privacy of personal information can shift rapidly, in ways that may affect our reputation or influence regulators to enact regulations and laws that may limit our ability to provide certain products. Any failure, or perceived failure, by us to comply with U.S. federal, state, or international laws and regulations, including laws and regulations regulating privacy, data security, or consumer protection, or other policies, public perception, standards, self-regulatory requirements or legal obligations, could result in lost or restricted business, proceedings, actions or fines brought against us or levied by governmental entities or others, or could adversely affect our business and harm our reputation.</w:t>
      </w:r>
    </w:p>
    <w:p>
      <w:pPr>
        <w:spacing w:after="0" w:line="21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could incur substantial costs in protecting our proprietary software technology, and if we fail to protect our technology we could incur material harm to our business. </w:t>
      </w:r>
      <w:r>
        <w:rPr>
          <w:rFonts w:ascii="Times New Roman" w:cs="Times New Roman" w:eastAsia="Times New Roman" w:hAnsi="Times New Roman"/>
          <w:sz w:val="17"/>
          <w:szCs w:val="17"/>
          <w:color w:val="auto"/>
        </w:rPr>
        <w:t>We rely principally on a combination of contract provisions and copyright, trademark, patent, and trade secret laws to protect our proprietary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technology. Despite our efforts to protect our proprietary rights, unauthorized parties may attempt to copy aspects of our products or to obtain and use information that we regard as proprietary. Policing unauthorized use of our products is difficult. Litigation may be necessary in the future to enforce our intellectual property rights, to protect our trade secrets, or to determine the validity and scope of the proprietary rights of others. This litigation could result in substantial costs and diversion of resources, whether or not we ultimately prevail on the merits. The steps we take to protect our proprietary rights may be inadequate to prevent misappropriation of our technology; moreover, others could independently develop similar technology.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6" w:name="page17"/>
    <w:bookmarkEnd w:id="16"/>
    <w:p>
      <w:pPr>
        <w:ind w:right="54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could be subject to claims that we infringe intellectual property rights of others, which could harm our business, financial condition, and results of operations. </w:t>
      </w:r>
      <w:r>
        <w:rPr>
          <w:rFonts w:ascii="Times New Roman" w:cs="Times New Roman" w:eastAsia="Times New Roman" w:hAnsi="Times New Roman"/>
          <w:sz w:val="17"/>
          <w:szCs w:val="17"/>
          <w:color w:val="auto"/>
        </w:rPr>
        <w:t>Third parties could assert infringement claims in the future with respect to our products and technology, and such claims might be successful.</w:t>
      </w:r>
    </w:p>
    <w:p>
      <w:pPr>
        <w:ind w:right="120"/>
        <w:spacing w:after="0" w:line="261" w:lineRule="auto"/>
        <w:rPr>
          <w:sz w:val="20"/>
          <w:szCs w:val="20"/>
          <w:color w:val="auto"/>
        </w:rPr>
      </w:pPr>
      <w:r>
        <w:rPr>
          <w:rFonts w:ascii="Times New Roman" w:cs="Times New Roman" w:eastAsia="Times New Roman" w:hAnsi="Times New Roman"/>
          <w:sz w:val="17"/>
          <w:szCs w:val="17"/>
          <w:color w:val="auto"/>
        </w:rPr>
        <w:t>Litigation relating to any such claims could result in substantial costs and diversion of resources, whether or not we ultimately prevail on the merits. Any such litigation could also result in our being prohibited from selling one or more of our products, unanticipated royalty payments, reluctance by potential customers to purchase our products, or liability to our customers and could have a material adverse effect on our business, financial condition, and operating results.</w:t>
      </w:r>
    </w:p>
    <w:p>
      <w:pPr>
        <w:spacing w:after="0" w:line="19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Contracting with government entities exposes us to additional risks inherent in the government procurement process. </w:t>
      </w:r>
      <w:r>
        <w:rPr>
          <w:rFonts w:ascii="Times New Roman" w:cs="Times New Roman" w:eastAsia="Times New Roman" w:hAnsi="Times New Roman"/>
          <w:sz w:val="17"/>
          <w:szCs w:val="17"/>
          <w:color w:val="auto"/>
        </w:rPr>
        <w:t>We provide products and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directly and indirectly, to a variety of government entities, both domestically and internationally. Risks associated with licensing and selling products and services to government entities include more extended sales and collection cycles, varying governmental budgeting processes and adherence to complex procurement regulations and other government-specific and contractual requirements, including with respect to ongoing compliance. We may be subject to audits and investigations relating to our government contracts and any violations could result in various civil and criminal penalties and administrative sanctions, including termination of contracts for default or for the convenience of the government, payment of fines, and suspension or debarment from future government business, as well as harm to our reputation and financial results.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Financial Performance or General Economic Conditions</w:t>
      </w:r>
    </w:p>
    <w:p>
      <w:pPr>
        <w:spacing w:after="0" w:line="22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Weakness in the U.S. and international economies may result in fewer sales of our products and may otherwise harm our business. </w:t>
      </w:r>
      <w:r>
        <w:rPr>
          <w:rFonts w:ascii="Times New Roman" w:cs="Times New Roman" w:eastAsia="Times New Roman" w:hAnsi="Times New Roman"/>
          <w:sz w:val="17"/>
          <w:szCs w:val="17"/>
          <w:color w:val="auto"/>
        </w:rPr>
        <w:t>We are subject to risks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arising from adverse changes in global economic conditions, especially those in the U.S., Europe and Latin America. If global economic conditions weaken, credit markets tighten and/or financial markets become unstable, customers may delay, reduce or forego technology purchases, both directly and through our ISVs, resellers/distributors and OEMs. This could result in reductions in sales of our products, longer sales cycles, slower adoption of new technologies, and increased price competition. Further, deteriorating economic conditions could adversely affect our customers and their ability to pay amounts owed to us (see </w:t>
      </w:r>
      <w:r>
        <w:rPr>
          <w:rFonts w:ascii="Times New Roman" w:cs="Times New Roman" w:eastAsia="Times New Roman" w:hAnsi="Times New Roman"/>
          <w:sz w:val="17"/>
          <w:szCs w:val="17"/>
          <w:i w:val="1"/>
          <w:iCs w:val="1"/>
          <w:color w:val="auto"/>
        </w:rPr>
        <w:t>Our customers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partners may seek refunds, delay implementation timelines, delay payment, fail to pay us in accordance with the terms of their agreements, decline renewals or upgrades, or reduce or terminate use of our products, all of which can have an adverse effect on us</w:t>
      </w:r>
      <w:r>
        <w:rPr>
          <w:rFonts w:ascii="Times New Roman" w:cs="Times New Roman" w:eastAsia="Times New Roman" w:hAnsi="Times New Roman"/>
          <w:sz w:val="17"/>
          <w:szCs w:val="17"/>
          <w:color w:val="auto"/>
        </w:rPr>
        <w:t>). If the U.S. and other international economies experience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inflationary pressures, our expenses (including the cost of labor) may increase, credit and securities markets may be adversely affected, and customer demand for our products and their ability to make payments may be impacted. Any of these events would likely harm our business, financial condition, and results of operations.</w:t>
      </w:r>
    </w:p>
    <w:p>
      <w:pPr>
        <w:spacing w:after="0" w:line="21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currently operating in a period of economic uncertainty and capital markets disruption due to various geopolitical and macro-economic factors, which may materially adversely affect our business, financial condition, and results of operations. </w:t>
      </w:r>
      <w:r>
        <w:rPr>
          <w:rFonts w:ascii="Times New Roman" w:cs="Times New Roman" w:eastAsia="Times New Roman" w:hAnsi="Times New Roman"/>
          <w:sz w:val="17"/>
          <w:szCs w:val="17"/>
          <w:color w:val="auto"/>
        </w:rPr>
        <w:t>The overall macro global economy, including ongoing military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conflicts in Ukraine and the Middle East, and increasing tensions between the U.S. and China, remain unpredictable and has already led to market disruptions,</w:t>
      </w:r>
    </w:p>
    <w:p>
      <w:pPr>
        <w:spacing w:after="0" w:line="2"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7"/>
          <w:szCs w:val="17"/>
          <w:color w:val="auto"/>
        </w:rPr>
        <w:t>including volatile capital markets, higher interest rates and debt capital costs, diminished liquidity and credit availability, declines in consumer confidence and discretionary spending, as well as supply chain disruptions and increases in costs of certain raw materials and transportation, which have in turn contributed to global inflationary pressures. Prolonged unrest, military activities, or broad-based sanctions could have a material adverse effect on our operations and business outlook. Given our meaningful reliance on revenue generated outside of North America (which constituted 36% of our total revenue in fiscal 2025) and our reliance on revenue generated in EMEA (which constituted 29% of our total revenue in fiscal 2025), disruption of commercial activities in these regions may materially adversely affect our financial condition and results of operations. Although we cannot predict what the impacts may be, our global operations and reliance on interconnected technology increase the risk to our operations.</w:t>
      </w:r>
    </w:p>
    <w:p>
      <w:pPr>
        <w:spacing w:after="0" w:line="1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Fluctuations in foreign currency exchange rates or interest rates have had, and could continue to have, an adverse impact on our financial condition and results of operations. </w:t>
      </w:r>
      <w:r>
        <w:rPr>
          <w:rFonts w:ascii="Times New Roman" w:cs="Times New Roman" w:eastAsia="Times New Roman" w:hAnsi="Times New Roman"/>
          <w:sz w:val="17"/>
          <w:szCs w:val="17"/>
          <w:color w:val="auto"/>
        </w:rPr>
        <w:t>Changes in the value of foreign currencies relative to the U.S. Dollar and related changes in interest rates have adversely affected our results</w:t>
      </w:r>
    </w:p>
    <w:p>
      <w:pPr>
        <w:spacing w:after="0" w:line="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7"/>
          <w:szCs w:val="17"/>
          <w:color w:val="auto"/>
        </w:rPr>
        <w:t>of operations and financial position in the past and could do so again in the future. In the past, as the value of the U.S. Dollar has strengthened in comparison to certain foreign currencies (particularly in EMEA), our reported international revenue has been reduced because foreign currencies translate into fewer U.S. Dollars. As approximately one-third of our revenue is denominated in foreign currencies, these exchange rate fluctuations have impacted, and we expect will continue to impact, our revenue results. Please see Management's Discussion and Analysis of Financial Condition and Results of Operations in Part II, Item 7 for additional information. We seek to reduce our exposure to fluctuations in exchange rates by entering into foreign exchange forward contracts to hedge certain actual and forecasted transactions of selected currencies (mainly in Europe, Brazil, India and Australia); however, our currency hedging transactions may not be effective in reducing the adverse impact of fluctuations in foreign currency exchange rates. Further, as geopolitical volatility around the world increases, there is increasing risk of the imposition of exchange or price controls, or other restrictions on the conversion of foreign currencies, which could have a material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738" w:right="359" w:bottom="1440" w:gutter="0" w:footer="0" w:header="0"/>
        </w:sectPr>
      </w:pPr>
    </w:p>
    <w:bookmarkStart w:id="17" w:name="page18"/>
    <w:bookmarkEnd w:id="17"/>
    <w:p>
      <w:pPr>
        <w:ind w:right="2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forecasting is uncertain, and the failure to meet our forecasts could result in a decline in the market price of our common stock. </w:t>
      </w:r>
      <w:r>
        <w:rPr>
          <w:rFonts w:ascii="Times New Roman" w:cs="Times New Roman" w:eastAsia="Times New Roman" w:hAnsi="Times New Roman"/>
          <w:sz w:val="17"/>
          <w:szCs w:val="17"/>
          <w:color w:val="auto"/>
        </w:rPr>
        <w:t>Our revenues,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particularly new software license revenues or economic impacts from M&amp;A activities, are difficult to forecast. We use a pipeline system to forecast revenues and trends in our business. Our pipeline estimates may prove to be unreliable either in a particular quarter or over a longer period of time, in part because the conversion rate of the pipeline into contracts can be difficult to estimate and requires management judgment. A variation in the conversion rate could cause us to plan or budget incorrectly and result in a material adverse impact on our business or our planned results of operations. Furthermore, most of our expenses are relatively fixed, including costs of personnel and facilities. Thus, an unexpected reduction in our revenue, or failure to achieve the anticipated rate of growth or realize synergies from M&amp;A activity, would have a material adverse effect on our profitability. If our operating results do not meet our publicly stated guidance or the expectations of investors or analysts, the market price of our common stock may decline.</w:t>
      </w:r>
    </w:p>
    <w:p>
      <w:pPr>
        <w:spacing w:after="0" w:line="181"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stock price has been, and may continue to be, volatile, and your investment could lose value. </w:t>
      </w:r>
      <w:r>
        <w:rPr>
          <w:rFonts w:ascii="Times New Roman" w:cs="Times New Roman" w:eastAsia="Times New Roman" w:hAnsi="Times New Roman"/>
          <w:sz w:val="17"/>
          <w:szCs w:val="17"/>
          <w:color w:val="auto"/>
        </w:rPr>
        <w:t>Our revenue and quarterly results may fluctuate, which could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adversely affect the market price of our common stock. We have experienced, and may in the future experience, fluctuations in our quarterly operating results that may be caused by a variety of factors, including:</w:t>
      </w:r>
    </w:p>
    <w:p>
      <w:pPr>
        <w:spacing w:after="0" w:line="199" w:lineRule="exact"/>
        <w:rPr>
          <w:sz w:val="20"/>
          <w:szCs w:val="20"/>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demand for our products;</w:t>
      </w:r>
    </w:p>
    <w:p>
      <w:pPr>
        <w:spacing w:after="0" w:line="3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enhancement or announcement of products by us or our competitors;</w:t>
      </w:r>
    </w:p>
    <w:p>
      <w:pPr>
        <w:spacing w:after="0" w:line="15"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increasing prominence of new technologies, including AI, in the markets in which we compete;</w:t>
      </w:r>
    </w:p>
    <w:p>
      <w:pPr>
        <w:spacing w:after="0" w:line="1" w:lineRule="exact"/>
        <w:rPr>
          <w:rFonts w:ascii="Arial" w:cs="Arial" w:eastAsia="Arial" w:hAnsi="Arial"/>
          <w:sz w:val="21"/>
          <w:szCs w:val="21"/>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our new products, including acquired products;</w:t>
      </w:r>
    </w:p>
    <w:p>
      <w:pPr>
        <w:spacing w:after="0" w:line="1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growth rates of certain market segments in which we compete;</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size and timing of significant orders;</w:t>
      </w:r>
    </w:p>
    <w:p>
      <w:pPr>
        <w:spacing w:after="0" w:line="11" w:lineRule="exact"/>
        <w:rPr>
          <w:rFonts w:ascii="Times New Roman" w:cs="Times New Roman" w:eastAsia="Times New Roman" w:hAnsi="Times New Roman"/>
          <w:sz w:val="17"/>
          <w:szCs w:val="17"/>
          <w:color w:val="auto"/>
        </w:rPr>
      </w:pPr>
    </w:p>
    <w:p>
      <w:pPr>
        <w:ind w:left="620" w:right="60" w:hanging="306"/>
        <w:spacing w:after="0" w:line="254"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high percentage of our revenue is generated in the third month of each fiscal quarter and any failure to receive, complete or process orders at the end of any quarter could cause us to fall short of our revenue targets;</w:t>
      </w: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budgeting cycles of customers;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mix of distribution channels;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mix of products and services sold;</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mix of international and North American revenues;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level of operating expenses, including unforeseen expenses incurred in connection with items such as cybersecurity instances;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management;</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programs;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sales force;</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or announcement of acquisitions by us or our competitors;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of acquired businesses or inability to realize expected synergies;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order deferrals in anticipation of new products announced by us or our competitors;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 regions in which we conduct business; and</w:t>
      </w:r>
    </w:p>
    <w:p>
      <w:pPr>
        <w:spacing w:after="0" w:line="11" w:lineRule="exact"/>
        <w:rPr>
          <w:rFonts w:ascii="Times New Roman" w:cs="Times New Roman" w:eastAsia="Times New Roman" w:hAnsi="Times New Roman"/>
          <w:sz w:val="17"/>
          <w:szCs w:val="17"/>
          <w:color w:val="auto"/>
        </w:rPr>
      </w:pPr>
    </w:p>
    <w:p>
      <w:pPr>
        <w:ind w:left="620" w:right="20" w:hanging="306"/>
        <w:spacing w:after="0" w:line="268"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such as political or social unrest, terrorist attacks, other hostilities, natural disasters, cyber-attacks, and potential public health crises, such as pandemics.</w:t>
      </w:r>
    </w:p>
    <w:p>
      <w:pPr>
        <w:spacing w:after="0" w:line="17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The market price of our common stock, like that of other technology companies, is volatile and is subject to wide fluctuations in response to a variety of factors, including operating results, announcements of technological innovations or new products by us or our competitors; the proliferation and anticipated impact of AI on the technology sector; changes in financial estimates by securities analysts; purchases or sales of our stock by our officers or directors; repurchases of shares of our common stock; the issuance of additional shares or securities convertible into, or exchangeable or exercisable for, shares of our common stock, including upon the conversion of the Notes (as defined below) or under our equity compensation plans, general economic conditions and other macroeconomic factors; or other events or factors. The market price of our common stock may also be affected by broader market trends unrelated to our performance. As a result, purchasers of our common stock may be unable at any given time to sell their shares at or above the price they paid for them.</w:t>
      </w:r>
    </w:p>
    <w:p>
      <w:pPr>
        <w:spacing w:after="0" w:line="2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Any of these events, as well as other circumstances discussed in these Risk Factors, may cause the price of our common stock to fluctuate. In addition, the stock market in general, and the market prices of publicly-traded technology companies in particular, have experienced significant volatility that often has been unrelated to the operating performance of affected companies. These broad stock market fluctuations may adversely affect the market price of our common stock, regardless of our operating performance.</w:t>
      </w:r>
    </w:p>
    <w:p>
      <w:pPr>
        <w:spacing w:after="0" w:line="20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Changes in accounting principles and guidance, or their interpretation or implementation, may materially adversely affect our reported results of operations or financial position. </w:t>
      </w:r>
      <w:r>
        <w:rPr>
          <w:rFonts w:ascii="Times New Roman" w:cs="Times New Roman" w:eastAsia="Times New Roman" w:hAnsi="Times New Roman"/>
          <w:sz w:val="17"/>
          <w:szCs w:val="17"/>
          <w:color w:val="auto"/>
        </w:rPr>
        <w:t>We prepare our consolidated financial statements in accordance with accounting principles generally accepted in the United States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America ("GAAP"). These principles are subject to interpretation by the SEC and various bodies formed to create and interpret appropriate accounting principles and guidance. A change in these principles or guidance, or in their interpretations, may have a significant effect on our reported results, as well as our processes and related controls.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738" w:right="359" w:bottom="1440" w:gutter="0" w:footer="0" w:header="0"/>
        </w:sectPr>
      </w:pPr>
    </w:p>
    <w:bookmarkStart w:id="18" w:name="page19"/>
    <w:bookmarkEnd w:id="18"/>
    <w:p>
      <w:pPr>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our goodwill or amortizable intangible assets become impaired, we may be required to record a significant charge to earnings. </w:t>
      </w:r>
      <w:r>
        <w:rPr>
          <w:rFonts w:ascii="Times New Roman" w:cs="Times New Roman" w:eastAsia="Times New Roman" w:hAnsi="Times New Roman"/>
          <w:sz w:val="17"/>
          <w:szCs w:val="17"/>
          <w:color w:val="auto"/>
        </w:rPr>
        <w:t>We acquire other companies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cause a change in circumstances, indicating that the carrying value of our goodwill or amortizable intangible assets may not be recoverable, include a decline in the market price of our common stock and market capitalization, reduced future cash flow estimates, and slower growth rates in industry segments in which we participate. We may be required to record a significant charge in our consolidated financial statements during the period in which any impairment of our goodwill or amortizable intangible assets is determined, adversely affecting our results of operations.</w:t>
      </w:r>
    </w:p>
    <w:p>
      <w:pPr>
        <w:spacing w:after="0" w:line="19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may have exposure to additional tax liabilities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a multinational corporation, we are subject to income taxes in the U.S. and various foreign jurisdictions.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Significant judgment is required in determining our global provision for income taxes and other tax liabilities. In the ordinary course of a global business, there are many intercompany transactions and calculations where the ultimate tax determination is uncertain. Our income tax returns are routinely subject to audits by tax authorities. Although we regularly assess the likelihood of adverse outcomes resulting from these examinations to determine our tax estimates, a final determination of tax audits that is inconsistent with such assessments or tax disputes could have an adverse effect on our financial condition, results of operations, and cash flows.</w:t>
      </w:r>
    </w:p>
    <w:p>
      <w:pPr>
        <w:spacing w:after="0" w:line="200" w:lineRule="exact"/>
        <w:rPr>
          <w:sz w:val="20"/>
          <w:szCs w:val="20"/>
          <w:color w:val="auto"/>
        </w:rPr>
      </w:pPr>
    </w:p>
    <w:p>
      <w:pPr>
        <w:spacing w:after="0" w:line="20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We are also subject to non-income taxes, such as payroll, sales, use, value-added, net worth, property, and goods and services taxes in the U.S. and various foreign jurisdictions. We are regularly under audit by tax authorities with respect to these non-income taxes and may have exposure to additional non-income tax liabilities, which could have an adverse effect on our results of operations, financial condition and cash flows.</w:t>
      </w:r>
    </w:p>
    <w:p>
      <w:pPr>
        <w:spacing w:after="0" w:line="17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7"/>
          <w:szCs w:val="17"/>
          <w:color w:val="auto"/>
        </w:rPr>
        <w:t>In addition, our future effective tax rates could be favorably or unfavorably affected by changes in tax rates, changes in the valuation of our deferred tax assets or liabilities, or changes in tax laws including Pillar Two legislation adopted as part of the Organization for Economic Cooperation and Development Inclusive Framework, which established a global minimum corporate tax rate of 15% for certain multinational enterprises, or the interpretation of such laws. Such changes could have a material adverse impact on our financial results.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Indebtedness and Convertible Senior Notes</w:t>
      </w:r>
    </w:p>
    <w:p>
      <w:pPr>
        <w:spacing w:after="0" w:line="24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indebtedness and liabilities could limit the cash flow available for our operations and expose us to risks that could adversely affect our business, financial condition, and results of operations. </w:t>
      </w:r>
      <w:r>
        <w:rPr>
          <w:rFonts w:ascii="Times New Roman" w:cs="Times New Roman" w:eastAsia="Times New Roman" w:hAnsi="Times New Roman"/>
          <w:sz w:val="17"/>
          <w:szCs w:val="17"/>
          <w:color w:val="auto"/>
        </w:rPr>
        <w:t>As of November 30, 2025, we had approximately $1.4 billion of consolidated indebtedness. We may also incur additional</w:t>
      </w:r>
    </w:p>
    <w:p>
      <w:pPr>
        <w:ind w:right="220"/>
        <w:spacing w:after="0" w:line="268" w:lineRule="auto"/>
        <w:rPr>
          <w:sz w:val="20"/>
          <w:szCs w:val="20"/>
          <w:color w:val="auto"/>
        </w:rPr>
      </w:pPr>
      <w:r>
        <w:rPr>
          <w:rFonts w:ascii="Times New Roman" w:cs="Times New Roman" w:eastAsia="Times New Roman" w:hAnsi="Times New Roman"/>
          <w:sz w:val="17"/>
          <w:szCs w:val="17"/>
          <w:color w:val="auto"/>
        </w:rPr>
        <w:t>indebtedness to meet future financing needs. Our indebtedness could have significant adverse consequences for our security holders and our business, results of operations, and financial condition by, among other things:</w:t>
      </w:r>
    </w:p>
    <w:p>
      <w:pPr>
        <w:spacing w:after="0" w:line="192" w:lineRule="exact"/>
        <w:rPr>
          <w:sz w:val="20"/>
          <w:szCs w:val="20"/>
          <w:color w:val="auto"/>
        </w:rPr>
      </w:pPr>
    </w:p>
    <w:p>
      <w:pPr>
        <w:ind w:left="620" w:hanging="306"/>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adverse economic and industry conditions;</w:t>
      </w:r>
    </w:p>
    <w:p>
      <w:pPr>
        <w:spacing w:after="0" w:line="3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w:t>
      </w:r>
    </w:p>
    <w:p>
      <w:pPr>
        <w:spacing w:after="0" w:line="11" w:lineRule="exact"/>
        <w:rPr>
          <w:rFonts w:ascii="Times New Roman" w:cs="Times New Roman" w:eastAsia="Times New Roman" w:hAnsi="Times New Roman"/>
          <w:sz w:val="17"/>
          <w:szCs w:val="17"/>
          <w:color w:val="auto"/>
        </w:rPr>
      </w:pPr>
    </w:p>
    <w:p>
      <w:pPr>
        <w:ind w:left="620" w:right="460" w:hanging="306"/>
        <w:spacing w:after="0" w:line="254"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the dedication of a substantial portion of our cash flow from operations to service our indebtedness, which will reduce the amount of cash available for other purposes;</w:t>
      </w:r>
    </w:p>
    <w:p>
      <w:pPr>
        <w:ind w:left="620" w:hanging="306"/>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flexibility to plan for, or react to, changes in our business;</w:t>
      </w:r>
    </w:p>
    <w:p>
      <w:pPr>
        <w:jc w:val="both"/>
        <w:ind w:left="620" w:hanging="306"/>
        <w:spacing w:after="0" w:line="238"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diluting the interests of our existing stockholders as a result of issuing shares of our common stock upon conversion of our Convertible Senior Notes with an aggregate principal amount of $360.0 million, due April 15, 2026 (the "2026 Notes"), and an aggregate principal amount of $450.0 million, due March 1, 2030 (the "2030 Notes" and, together with the 2026 Notes, the "Notes"); and</w:t>
      </w:r>
    </w:p>
    <w:p>
      <w:pPr>
        <w:ind w:left="620" w:hanging="306"/>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possible competitive disadvantage with competitors that are less leveraged than us or have better access to capital.</w:t>
      </w:r>
    </w:p>
    <w:p>
      <w:pPr>
        <w:spacing w:after="0" w:line="22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interest on, or to refinance our current or future indebtedness, including the Notes, depends on our future performance, which is subject to economic, financial, competitive, and other factors beyond our control. Our business may not generate sufficient funds, and we may otherwise be unable to maintain sufficient cash reserves, to pay amounts due under our current or future indebtedness, including the Notes, and our cash needs may increase in the future. In addition, our credit facility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9" w:name="page20"/>
    <w:bookmarkEnd w:id="19"/>
    <w:p>
      <w:pPr>
        <w:ind w:right="40"/>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required to comply with certain financial and operating covenants under our Credit Facility and to make scheduled debt payments as they become due; any failure to comply with those covenants or to make scheduled payments could cause amounts borrowed under the facility to become immediately due and payable or prevent us from borrowing under the facility. </w:t>
      </w:r>
      <w:r>
        <w:rPr>
          <w:rFonts w:ascii="Times New Roman" w:cs="Times New Roman" w:eastAsia="Times New Roman" w:hAnsi="Times New Roman"/>
          <w:sz w:val="17"/>
          <w:szCs w:val="17"/>
          <w:color w:val="auto"/>
        </w:rPr>
        <w:t>In July 2025, we entered into an amended and restated credit agreement (the "Credit Agreement")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certain lenders, which provides for a $1.5 billion secured revolving credit facility (the "Credit Facility"). This Credit Facility matures on the earlier of July 2030 or the date that is 91 days prior to the maturity date of our 2030 Notes (subject to certain conditions), at which time any amounts outstanding will be due and payable in full. We may wish to borrow additional amounts under the facility in the future to support our operations, including for strategic acquisitions and share repurchases.</w:t>
      </w:r>
    </w:p>
    <w:p>
      <w:pPr>
        <w:spacing w:after="0" w:line="18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We are required to comply with specified financial and operating covenants of the Credit Facility, which may limit our ability to operate our business as we otherwise might operate it. Our failure to comply with any of these covenants or to meet any payment obligations under the Credit Facility could result in an event of default which, if not cured or waived, would result in any amounts outstanding, including any accrued interest and unpaid fees, becoming immediately due and payable. We might not have sufficient working capital or liquidity to satisfy any repayment obligations in the event of an acceleration of those obligations. In addition, if we are not in compliance with the financial and operating covenants at the time we wish to borrow funds, we will be unable to borrow funds.</w:t>
      </w:r>
    </w:p>
    <w:p>
      <w:pPr>
        <w:spacing w:after="0" w:line="19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capped call transactions may affect the market price of our common stock. </w:t>
      </w:r>
      <w:r>
        <w:rPr>
          <w:rFonts w:ascii="Times New Roman" w:cs="Times New Roman" w:eastAsia="Times New Roman" w:hAnsi="Times New Roman"/>
          <w:sz w:val="17"/>
          <w:szCs w:val="17"/>
          <w:color w:val="auto"/>
        </w:rPr>
        <w:t>In connection with the issuance of the Notes, we entered into capped call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transactions with certain financial institutions ("option counterparties"). The capped call transactions are generally expected to reduce the potential dilution to our common stock upon any conversion of the Notes and/or offset any cash payments we are required to make in excess of the principal amount of converted Notes, as the case may be, with such reduction and/or offset subject to a cap. From time to time, the option counterparties that are parties to the capped call transactions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Notes. This activity could cause a decrease in the market price of our common stock.</w:t>
      </w:r>
    </w:p>
    <w:p>
      <w:pPr>
        <w:spacing w:after="0" w:line="1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subject to counterparty risk with respect to the capped call transactions, and the capped call may not operate as planned. </w:t>
      </w:r>
      <w:r>
        <w:rPr>
          <w:rFonts w:ascii="Times New Roman" w:cs="Times New Roman" w:eastAsia="Times New Roman" w:hAnsi="Times New Roman"/>
          <w:sz w:val="17"/>
          <w:szCs w:val="17"/>
          <w:color w:val="auto"/>
        </w:rPr>
        <w:t>The option counterparties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financial institutions, and we are subject to the risk that any or all of them might default under the capped call transactions. Our exposure to the credit risk of the option counterparties will not be secured by any collateral. Global economic conditions have from time to time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subject to the cap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20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conditional conversion feature of the Notes, if triggered, may adversely affect our financial condition and operating results. </w:t>
      </w:r>
      <w:r>
        <w:rPr>
          <w:rFonts w:ascii="Times New Roman" w:cs="Times New Roman" w:eastAsia="Times New Roman" w:hAnsi="Times New Roman"/>
          <w:sz w:val="17"/>
          <w:szCs w:val="17"/>
          <w:color w:val="auto"/>
        </w:rPr>
        <w:t>Noteholders may require us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repurchase their Notes following a fundamental change at a cash repurchase price generally equal to the principal amount of the Notes to be repurchased, plus accrued and unpaid interest, if any. In addition, all conversions of Notes will be settled partially or entirely in cash.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 governing the terms of the Notes. A default under the indenture or the fundamental change itself could also lead to a default under agreements governing our other indebtedness, which may result in that other indebtedness becoming immediately payable in full. If the repayment of such other indebtedness were to be accelerated after any applicable notice or grace periods, then we may not have sufficient funds to repay that indebtedness and repurchase the Notes or make cash payments upon their conversion.</w:t>
      </w:r>
    </w:p>
    <w:p>
      <w:pPr>
        <w:spacing w:after="0" w:line="394"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Provisions in the indenture could delay or prevent an otherwise beneficial takeover of us. </w:t>
      </w:r>
      <w:r>
        <w:rPr>
          <w:rFonts w:ascii="Times New Roman" w:cs="Times New Roman" w:eastAsia="Times New Roman" w:hAnsi="Times New Roman"/>
          <w:sz w:val="17"/>
          <w:szCs w:val="17"/>
          <w:color w:val="auto"/>
        </w:rPr>
        <w:t>Certain provisions in the Notes and the indenture could make a third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In either case, and in other cases, our obligations under the Notes and the indenture could increase the cost of acquiring us or otherwise discourage a third party from acquiring us or removing incumbent management, including in a transaction that Noteholders or holders of our common stock may view as favorable.</w:t>
      </w:r>
    </w:p>
    <w:p>
      <w:pPr>
        <w:spacing w:after="0" w:line="195"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Conversion of the Notes may dilute the ownership interest of existing stockholders. </w:t>
      </w:r>
      <w:r>
        <w:rPr>
          <w:rFonts w:ascii="Times New Roman" w:cs="Times New Roman" w:eastAsia="Times New Roman" w:hAnsi="Times New Roman"/>
          <w:sz w:val="17"/>
          <w:szCs w:val="17"/>
          <w:color w:val="auto"/>
        </w:rPr>
        <w:t>The conversion of some or all of the Notes will dilute the ownership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interests of existing stockholders to the extent we deliver shares of our common stock upon conversion of any of the Notes. Any sales in the public market of the common stock issuable upon such conversion could adversely affect prevailing market prices of our common stock. In addition,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the date of this report, we do not have any unresolved comments from the SEC related to periodic or current reports under the Exchange Act.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46" w:lineRule="exact"/>
        <w:rPr>
          <w:sz w:val="20"/>
          <w:szCs w:val="20"/>
          <w:color w:val="auto"/>
        </w:rPr>
      </w:pPr>
    </w:p>
    <w:p>
      <w:pPr>
        <w:ind w:right="520"/>
        <w:spacing w:after="0" w:line="291" w:lineRule="auto"/>
        <w:rPr>
          <w:sz w:val="20"/>
          <w:szCs w:val="20"/>
          <w:color w:val="auto"/>
        </w:rPr>
      </w:pPr>
      <w:r>
        <w:rPr>
          <w:rFonts w:ascii="Times New Roman" w:cs="Times New Roman" w:eastAsia="Times New Roman" w:hAnsi="Times New Roman"/>
          <w:sz w:val="17"/>
          <w:szCs w:val="17"/>
          <w:color w:val="auto"/>
        </w:rPr>
        <w:t>We maintain a comprehensive cybersecurity program and continuously assess our approach against industry best practices. Our focus on cybersecurity risk management, including risk identification, analysis, and response, centers on the following areas:</w:t>
      </w:r>
    </w:p>
    <w:p>
      <w:pPr>
        <w:spacing w:after="0" w:line="173" w:lineRule="exact"/>
        <w:rPr>
          <w:sz w:val="20"/>
          <w:szCs w:val="20"/>
          <w:color w:val="auto"/>
        </w:rPr>
      </w:pPr>
    </w:p>
    <w:p>
      <w:pPr>
        <w:ind w:left="620" w:hanging="306"/>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Enterprise security: We reference industry-accepted control frameworks, compliance regulations, privacy requirements and best practices.</w:t>
      </w:r>
    </w:p>
    <w:p>
      <w:pPr>
        <w:spacing w:after="0" w:line="3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security: Our development teams participate in regular training and adopt industry best practices to enhance the security of our product portfolio.</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Threat landscape analysis: We continuously assess emerging threat vectors and the evolving data privacy regulatory environment.</w:t>
      </w:r>
    </w:p>
    <w:p>
      <w:pPr>
        <w:spacing w:after="0" w:line="11" w:lineRule="exact"/>
        <w:rPr>
          <w:rFonts w:ascii="Times New Roman" w:cs="Times New Roman" w:eastAsia="Times New Roman" w:hAnsi="Times New Roman"/>
          <w:sz w:val="17"/>
          <w:szCs w:val="17"/>
          <w:color w:val="auto"/>
        </w:rPr>
      </w:pPr>
    </w:p>
    <w:p>
      <w:pPr>
        <w:ind w:left="620" w:right="80" w:hanging="306"/>
        <w:spacing w:after="0" w:line="26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Incident response: We continuously monitor the threat landscape and our systems in coordination with an external monitoring firm and regularly test our incident response preparedness.</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We actively participate in the cybersecurity community to stay current regarding best practices and continuously improve our security awareness posture. Our employees are engaged in security and privacy awareness training to enhance the protection of our systems and data. In addition, we incorporate data and privacy protection education in our customer engagement through ongoing resources, such as best practices content and security consultations. We also assess third-party service providers for cybersecurity risks at onboarding, refreshing as needed throughout our engagement.</w:t>
      </w:r>
    </w:p>
    <w:p>
      <w:pPr>
        <w:spacing w:after="0" w:line="194"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We also engage third-party resources to assist in our cybersecurity program, including annual ISO 27001 assessments of our cybersecurity program, validation of our SOC2 controls' operational effectiveness for certain products, and retaining leading cybersecurity experts as needed in response to cybersecurity incidents and for other consultative needs (e.g., due diligence of potential acquisitions).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23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Our multi-level cybersecurity governance and risk management structure begins with our management-level Enterprise Risk Management ("ERM") Committee, which consists of cross-functional management representatives from throughout Progress. The ERM Committee receives detailed cybersecurity information from key security personnel, led by our Chief Information Security Officer ("CISO"), and reports to Progress' Chief Executive Officer, Chief Financial Officer, Chief Information Officer, Chief Legal Officer, and other members of our executive team at least quarterly.</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Our CISO has significant information technology experience, having served in various roles in information technology and information security for more than 20 years, including serving in various cybersecurity leadership roles within public and private companies. He holds an undergraduate degree in management and obtained a CISO Executive Education Certification from Carnegie Mellon University. Cybersecurity leaders reporting to our CISO also have significant relevant experience and industry recognized certifications.</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Our CISO routinely reports to the Audit Committee of our Board of Directors at the Audit Committee's regular quarterly meetings, or more frequently as needed. The Audit Committee's duties include, among other things, oversight of risks related to cybersecurity, as well as our broader ERM program. The Audit Committee communicates regularly with our full Board of Directors, which is ultimately responsible for overall risk oversight for Progress.</w:t>
      </w:r>
    </w:p>
    <w:p>
      <w:pPr>
        <w:spacing w:after="0" w:line="209"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Additionally, our cybersecurity incident response plans require timely reporting to our Disclosure Committee ("DC") regarding any potentially material cybersecurity incidents. The DC is tasked with evaluating the materiality of any such incidents and is comprised of our Chief Executive Officer, Chief Financial Officer, and Chief Legal Officer, and supported by key leaders across the organization, including our Chief Information Officer and CISO.</w:t>
      </w:r>
    </w:p>
    <w:p>
      <w:pPr>
        <w:spacing w:after="0" w:line="189" w:lineRule="exact"/>
        <w:rPr>
          <w:sz w:val="20"/>
          <w:szCs w:val="20"/>
          <w:color w:val="auto"/>
        </w:rPr>
      </w:pPr>
    </w:p>
    <w:p>
      <w:pPr>
        <w:ind w:right="420"/>
        <w:spacing w:after="0" w:line="291" w:lineRule="auto"/>
        <w:rPr>
          <w:sz w:val="20"/>
          <w:szCs w:val="20"/>
          <w:color w:val="auto"/>
        </w:rPr>
      </w:pPr>
      <w:r>
        <w:rPr>
          <w:rFonts w:ascii="Times New Roman" w:cs="Times New Roman" w:eastAsia="Times New Roman" w:hAnsi="Times New Roman"/>
          <w:sz w:val="17"/>
          <w:szCs w:val="17"/>
          <w:color w:val="auto"/>
        </w:rPr>
        <w:t>Notwithstanding our commitments to cybersecurity, we may not be successful in preventing or mitigating a cybersecurity incident that could have a material adverse effect on us. Please see Item 1A. "Risk Factors" for a discussion of our cybersecurity risks.</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74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46" w:lineRule="exact"/>
        <w:rPr>
          <w:sz w:val="20"/>
          <w:szCs w:val="20"/>
          <w:color w:val="auto"/>
        </w:rPr>
      </w:pPr>
    </w:p>
    <w:p>
      <w:pPr>
        <w:ind w:right="400"/>
        <w:spacing w:after="0" w:line="291" w:lineRule="auto"/>
        <w:rPr>
          <w:sz w:val="20"/>
          <w:szCs w:val="20"/>
          <w:color w:val="auto"/>
        </w:rPr>
      </w:pPr>
      <w:r>
        <w:rPr>
          <w:rFonts w:ascii="Times New Roman" w:cs="Times New Roman" w:eastAsia="Times New Roman" w:hAnsi="Times New Roman"/>
          <w:sz w:val="17"/>
          <w:szCs w:val="17"/>
          <w:color w:val="auto"/>
        </w:rPr>
        <w:t>We lease our headquarters facility, which includes administrative, sales, support, marketing, product development, and distribution functions, in one building totaling approximately 33,000 square feet in Burlington, Massachusetts.</w:t>
      </w:r>
    </w:p>
    <w:p>
      <w:pPr>
        <w:spacing w:after="0" w:line="17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7"/>
          <w:szCs w:val="17"/>
          <w:color w:val="auto"/>
        </w:rPr>
        <w:t>We also maintain offices for administrative, sales, support, marketing, product development, and/or distribution purposes in leased facilities in various other locations in North America, including Raleigh, North Carolina, Alpharetta, Georgia, Vienna, Virginia and outside North America, including Sofia, Bulgaria, Limerick, Ireland, Brno, Czech Republic, Bengaluru and Hyderabad, India, Singapore, Singapore and Rotterdam, the Netherlands. The terms of our leases generally range from one to twelve years.</w:t>
      </w:r>
    </w:p>
    <w:p>
      <w:pPr>
        <w:spacing w:after="0" w:line="18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At the end of fiscal year 2021, we adopted a modern approach to work that gives our employees more flexibility to choose where to work. Depending on their role, this means that employees can choose their office location, as well as continue to work from home some or all the time. As of November 30, 2025, we have not terminated any significant lease arrangements. We believe our facilities are adequate for the conduct of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Please refer to Note 17, </w:t>
      </w:r>
      <w:r>
        <w:rPr>
          <w:rFonts w:ascii="Times New Roman" w:cs="Times New Roman" w:eastAsia="Times New Roman" w:hAnsi="Times New Roman"/>
          <w:sz w:val="17"/>
          <w:szCs w:val="17"/>
          <w:i w:val="1"/>
          <w:iCs w:val="1"/>
          <w:color w:val="auto"/>
        </w:rPr>
        <w:t>Cyber Related Matters,</w:t>
      </w:r>
      <w:r>
        <w:rPr>
          <w:rFonts w:ascii="Times New Roman" w:cs="Times New Roman" w:eastAsia="Times New Roman" w:hAnsi="Times New Roman"/>
          <w:sz w:val="17"/>
          <w:szCs w:val="17"/>
          <w:color w:val="auto"/>
        </w:rPr>
        <w:t xml:space="preserve"> in Part II, Item 8 of this Form 10-K for a discussion of legal proceedings related to the MOVEit Vulnerability.</w:t>
      </w:r>
    </w:p>
    <w:p>
      <w:pPr>
        <w:spacing w:after="0" w:line="246"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We are also subject to various other legal proceedings and claims, either asserted or unasserted, which arise in the ordinary course of business. While the outcome of these claims cannot be predicted with certainty, management does not believe that the outcome of any of these legal matters will have a material effect on our financial position, results of operations, or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4" w:lineRule="exact"/>
        <w:rPr>
          <w:sz w:val="20"/>
          <w:szCs w:val="20"/>
          <w:color w:val="auto"/>
        </w:rPr>
      </w:pPr>
    </w:p>
    <w:p>
      <w:pPr>
        <w:ind w:right="2360"/>
        <w:spacing w:after="0" w:line="541"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 Market and Stockholders</w:t>
      </w:r>
    </w:p>
    <w:p>
      <w:pPr>
        <w:spacing w:after="0"/>
        <w:rPr>
          <w:sz w:val="20"/>
          <w:szCs w:val="20"/>
          <w:color w:val="auto"/>
        </w:rPr>
      </w:pPr>
      <w:r>
        <w:rPr>
          <w:rFonts w:ascii="Times New Roman" w:cs="Times New Roman" w:eastAsia="Times New Roman" w:hAnsi="Times New Roman"/>
          <w:sz w:val="17"/>
          <w:szCs w:val="17"/>
          <w:color w:val="auto"/>
        </w:rPr>
        <w:t>Our common stock trades on the NASDAQ Global Select Market under the symbol "PRGS".</w:t>
      </w:r>
    </w:p>
    <w:p>
      <w:pPr>
        <w:spacing w:after="0" w:line="218"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7"/>
          <w:szCs w:val="17"/>
          <w:color w:val="auto"/>
        </w:rPr>
        <w:t>As of December 31, 2025, our common stock was held by approximately 109 stockholders of record. Because many of our shares of common stock are held by brokers and other institutions on behalf of stockholders, we are unable to estimate the total number of stockholders represented by these record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Equity Securities and Use of Proceeds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issuances of unregistered securities during fiscal year 2025, if any, have previously been disclosed in filings with the SEC.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Repurchases and Dividends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Repurchases of our common stock by month in the fourth quarter of fiscal year 2025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and share data)</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7"/>
                <w:szCs w:val="17"/>
                <w:color w:val="auto"/>
              </w:rPr>
              <w:t>Total Number of Shares</w:t>
            </w:r>
          </w:p>
        </w:tc>
        <w:tc>
          <w:tcPr>
            <w:tcW w:w="19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Approximate Dollar Value</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Total Number of</w:t>
            </w:r>
          </w:p>
        </w:tc>
        <w:tc>
          <w:tcPr>
            <w:tcW w:w="12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auto"/>
              </w:rPr>
              <w:t>Average Price Paid</w:t>
            </w:r>
          </w:p>
        </w:tc>
        <w:tc>
          <w:tcPr>
            <w:tcW w:w="206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Purchased as Part of</w:t>
            </w:r>
          </w:p>
        </w:tc>
        <w:tc>
          <w:tcPr>
            <w:tcW w:w="1980" w:type="dxa"/>
            <w:vAlign w:val="bottom"/>
            <w:gridSpan w:val="2"/>
          </w:tcPr>
          <w:p>
            <w:pPr>
              <w:jc w:val="right"/>
              <w:ind w:right="14"/>
              <w:spacing w:after="0" w:line="168" w:lineRule="exact"/>
              <w:rPr>
                <w:sz w:val="20"/>
                <w:szCs w:val="20"/>
                <w:color w:val="auto"/>
              </w:rPr>
            </w:pPr>
            <w:r>
              <w:rPr>
                <w:rFonts w:ascii="Times New Roman" w:cs="Times New Roman" w:eastAsia="Times New Roman" w:hAnsi="Times New Roman"/>
                <w:sz w:val="17"/>
                <w:szCs w:val="17"/>
                <w:color w:val="auto"/>
              </w:rPr>
              <w:t>of Shares that May Yet be</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06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Publicly Announced Plans</w:t>
            </w:r>
          </w:p>
        </w:tc>
        <w:tc>
          <w:tcPr>
            <w:tcW w:w="198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7"/>
                <w:szCs w:val="17"/>
                <w:color w:val="auto"/>
              </w:rPr>
              <w:t>Purchased Under the Plans</w:t>
            </w:r>
          </w:p>
        </w:tc>
        <w:tc>
          <w:tcPr>
            <w:tcW w:w="0" w:type="dxa"/>
            <w:vAlign w:val="bottom"/>
          </w:tcPr>
          <w:p>
            <w:pPr>
              <w:spacing w:after="0"/>
              <w:rPr>
                <w:sz w:val="1"/>
                <w:szCs w:val="1"/>
                <w:color w:val="auto"/>
              </w:rPr>
            </w:pPr>
          </w:p>
        </w:tc>
      </w:tr>
      <w:tr>
        <w:trPr>
          <w:trHeight w:val="233"/>
        </w:trPr>
        <w:tc>
          <w:tcPr>
            <w:tcW w:w="3800" w:type="dxa"/>
            <w:vAlign w:val="bottom"/>
            <w:gridSpan w:val="2"/>
          </w:tcPr>
          <w:p>
            <w:pPr>
              <w:ind w:left="1620"/>
              <w:spacing w:after="0"/>
              <w:rPr>
                <w:sz w:val="20"/>
                <w:szCs w:val="20"/>
                <w:color w:val="auto"/>
              </w:rPr>
            </w:pPr>
            <w:r>
              <w:rPr>
                <w:rFonts w:ascii="Times New Roman" w:cs="Times New Roman" w:eastAsia="Times New Roman" w:hAnsi="Times New Roman"/>
                <w:sz w:val="17"/>
                <w:szCs w:val="17"/>
                <w:color w:val="auto"/>
              </w:rPr>
              <w:t>Period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Shares Purchased</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per Share</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or Programs</w:t>
            </w:r>
          </w:p>
        </w:tc>
        <w:tc>
          <w:tcPr>
            <w:tcW w:w="340" w:type="dxa"/>
            <w:vAlign w:val="bottom"/>
          </w:tcPr>
          <w:p>
            <w:pPr>
              <w:spacing w:after="0"/>
              <w:rPr>
                <w:sz w:val="20"/>
                <w:szCs w:val="20"/>
                <w:color w:val="auto"/>
              </w:rPr>
            </w:pPr>
          </w:p>
        </w:tc>
        <w:tc>
          <w:tcPr>
            <w:tcW w:w="16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or Programs</w:t>
            </w:r>
          </w:p>
        </w:tc>
        <w:tc>
          <w:tcPr>
            <w:tcW w:w="0" w:type="dxa"/>
            <w:vAlign w:val="bottom"/>
          </w:tcPr>
          <w:p>
            <w:pPr>
              <w:spacing w:after="0"/>
              <w:rPr>
                <w:sz w:val="1"/>
                <w:szCs w:val="1"/>
                <w:color w:val="auto"/>
              </w:rPr>
            </w:pPr>
          </w:p>
        </w:tc>
      </w:tr>
      <w:tr>
        <w:trPr>
          <w:trHeight w:val="213"/>
        </w:trPr>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2025</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242,220</w:t>
            </w:r>
          </w:p>
        </w:tc>
        <w:tc>
          <w:tcPr>
            <w:tcW w:w="0" w:type="dxa"/>
            <w:vAlign w:val="bottom"/>
          </w:tcPr>
          <w:p>
            <w:pPr>
              <w:spacing w:after="0"/>
              <w:rPr>
                <w:sz w:val="1"/>
                <w:szCs w:val="1"/>
                <w:color w:val="auto"/>
              </w:rPr>
            </w:pPr>
          </w:p>
        </w:tc>
      </w:tr>
      <w:tr>
        <w:trPr>
          <w:trHeight w:val="22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October 2025</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708,916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45.65</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209,844</w:t>
            </w: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180,179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42.29</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202,220</w:t>
            </w:r>
          </w:p>
        </w:tc>
        <w:tc>
          <w:tcPr>
            <w:tcW w:w="0" w:type="dxa"/>
            <w:vAlign w:val="bottom"/>
          </w:tcPr>
          <w:p>
            <w:pPr>
              <w:spacing w:after="0"/>
              <w:rPr>
                <w:sz w:val="1"/>
                <w:szCs w:val="1"/>
                <w:color w:val="auto"/>
              </w:rPr>
            </w:pPr>
          </w:p>
        </w:tc>
      </w:tr>
      <w:tr>
        <w:trPr>
          <w:trHeight w:val="21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889,095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44.97</w:t>
            </w:r>
          </w:p>
        </w:tc>
        <w:tc>
          <w:tcPr>
            <w:tcW w:w="100" w:type="dxa"/>
            <w:vAlign w:val="bottom"/>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889,095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202,220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22" w:name="page23"/>
    <w:bookmarkEnd w:id="22"/>
    <w:p>
      <w:pPr>
        <w:ind w:right="240"/>
        <w:spacing w:after="0" w:line="272" w:lineRule="auto"/>
        <w:rPr>
          <w:sz w:val="20"/>
          <w:szCs w:val="20"/>
          <w:color w:val="auto"/>
        </w:rPr>
      </w:pPr>
      <w:r>
        <w:rPr>
          <w:rFonts w:ascii="Times New Roman" w:cs="Times New Roman" w:eastAsia="Times New Roman" w:hAnsi="Times New Roman"/>
          <w:sz w:val="17"/>
          <w:szCs w:val="17"/>
          <w:color w:val="auto"/>
        </w:rPr>
        <w:t>On September 23, 2025, our Board of Directors increased the share repurchase authorization by $200.0 million to an aggregate authorization of $242.2 million. The timing and amount of any shares repurchased will be determined by management based on its evaluation of market conditions and other factors, and the Board of Directors may choose to suspend, expand, or discontinue the repurchase program at any time.</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We have declared aggregate per share quarterly cash dividends totaling $0.53 and $0.70 for the years ended November 30, 2024 and 2023, respectively. We paid aggregate cash dividends totaling $31.5 million and $31.6 million for the years ended November 30, 2024, and 2023, respectively. During the fourth quarter of fiscal year 2024, our Board of Directors suspended our quarterly dividend in connection with the ShareFile acquisition and plans to redirect such capital toward the repayment of debt to increase liquidity for future M&amp;A and for share repurchases, both of which are prioritized in our capital allocation policy.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 and Cumulative Total Return</w:t>
      </w:r>
    </w:p>
    <w:p>
      <w:pPr>
        <w:spacing w:after="0" w:line="246"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The graph below compares the cumulative total stockholder return on our common stock with the cumulative total return on the NASDAQ Composite Index and the NASDAQ Computer Index for each of the last five fiscal years ended November 30, 2025, assuming an investment of $100 at the beginning of such period and the reinvestment of any dividends.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5 Year Cumulative Total Return</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 xml:space="preserve"> Among Progress Software Corporation, the NASDAQ Composite Index and 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122555</wp:posOffset>
            </wp:positionV>
            <wp:extent cx="5593715" cy="3268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93715" cy="326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0" w:hanging="137"/>
        <w:spacing w:after="0"/>
        <w:tabs>
          <w:tab w:leader="none" w:pos="14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$100 invested on November 30, 2020 in stock or index, including reinvestment of dividends.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30,</w:t>
            </w:r>
          </w:p>
        </w:tc>
        <w:tc>
          <w:tcPr>
            <w:tcW w:w="200" w:type="dxa"/>
            <w:vAlign w:val="bottom"/>
          </w:tcPr>
          <w:p>
            <w:pPr>
              <w:spacing w:after="0"/>
              <w:rPr>
                <w:sz w:val="19"/>
                <w:szCs w:val="19"/>
                <w:color w:val="auto"/>
              </w:rPr>
            </w:pPr>
          </w:p>
        </w:tc>
        <w:tc>
          <w:tcPr>
            <w:tcW w:w="7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2020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2025</w:t>
            </w:r>
          </w:p>
        </w:tc>
      </w:tr>
      <w:tr>
        <w:trPr>
          <w:trHeight w:val="213"/>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Software Corporation</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104.61</w:t>
            </w:r>
          </w:p>
        </w:tc>
      </w:tr>
      <w:tr>
        <w:trPr>
          <w:trHeight w:val="22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NASDAQ Composite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190.81</w:t>
            </w:r>
          </w:p>
        </w:tc>
      </w:tr>
      <w:tr>
        <w:trPr>
          <w:trHeight w:val="220"/>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NASDAQ Computer</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272.68</w:t>
            </w: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following Management's Discussion and Analysis of Financial Condition and Results of Operations ("MD&amp;A") is intended to help the reader understand the results of operations and financial condition of Progress Software Corporation. MD&amp;A is provided as a supplement to, and should be read in conjunction with, our consolidated financial statements and the accompanying Notes to Financial Statements in Part II, Item 8 of this Form 10-K. This section generally discusses the results of our operations for the year ended November 30, 2025 compared to the year ended November 30, 2024. For a discussion of the year ended November 30, 2024 compared to the year ended November 30, 2023, please refer to Part II, Item 7, "Management's Discussion and Analysis of Financial Condition and Results of Operations" in our Annual Report on Form 10-K for the year ended November 30,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44"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i w:val="1"/>
          <w:iCs w:val="1"/>
          <w:color w:val="auto"/>
        </w:rPr>
        <w:t>Certain statements below about anticipated results and our products and markets are forward-looking statements that are based on our current plans and assumptions. Important information about the bases for these plans and assumptions and factors that may cause our actual results to differ materially from these statements is contained below and in Part I, Item 1A. "Risk Factors" of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Constant Currency</w:t>
      </w:r>
    </w:p>
    <w:p>
      <w:pPr>
        <w:spacing w:after="0" w:line="246" w:lineRule="exact"/>
        <w:rPr>
          <w:sz w:val="20"/>
          <w:szCs w:val="20"/>
          <w:color w:val="auto"/>
        </w:rPr>
      </w:pPr>
    </w:p>
    <w:p>
      <w:pPr>
        <w:ind w:right="460"/>
        <w:spacing w:after="0" w:line="272" w:lineRule="auto"/>
        <w:rPr>
          <w:sz w:val="20"/>
          <w:szCs w:val="20"/>
          <w:color w:val="auto"/>
        </w:rPr>
      </w:pPr>
      <w:r>
        <w:rPr>
          <w:rFonts w:ascii="Times New Roman" w:cs="Times New Roman" w:eastAsia="Times New Roman" w:hAnsi="Times New Roman"/>
          <w:sz w:val="17"/>
          <w:szCs w:val="17"/>
          <w:color w:val="auto"/>
        </w:rPr>
        <w:t>Revenue from our international operations has historically represented a substantial portion of our total revenue. As a result, our revenue results have been impacted, and we expect will continue to be impacted, by fluctuations in foreign currency exchange rates. For example, if the local currencies of our foreign subsidiaries strengthen, our consolidated results stated in U.S. Dollars are positively impacted.</w:t>
      </w:r>
    </w:p>
    <w:p>
      <w:pPr>
        <w:spacing w:after="0" w:line="18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As exchange rates are an important factor in understanding period to period comparisons, we believe the presentation of revenue growth rates on a constant currency basis enhances the understanding of our revenue results and evaluation of our performance in comparison to prior periods. The constant currency information presented is calculated by translating current period results using prior period weighted average foreign currency exchange rates. These results should be considered in addition to, not as a substitute for, results reported in accordance with accounting principles generally accepted in the United States of America ("GAAP").</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6"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7"/>
          <w:szCs w:val="17"/>
          <w:color w:val="auto"/>
        </w:rPr>
        <w:t>Progress Software Corporation ("Progress," the "Company," "we," "us," or "our") provides software products that enable our customers to develop, deploy and manage responsible AI-powered applications and digital experiences.</w:t>
      </w:r>
    </w:p>
    <w:p>
      <w:pPr>
        <w:spacing w:after="0" w:line="173" w:lineRule="exact"/>
        <w:rPr>
          <w:sz w:val="20"/>
          <w:szCs w:val="20"/>
          <w:color w:val="auto"/>
        </w:rPr>
      </w:pPr>
    </w:p>
    <w:p>
      <w:pPr>
        <w:jc w:val="both"/>
        <w:ind w:right="580"/>
        <w:spacing w:after="0" w:line="272" w:lineRule="auto"/>
        <w:rPr>
          <w:sz w:val="20"/>
          <w:szCs w:val="20"/>
          <w:color w:val="auto"/>
        </w:rPr>
      </w:pPr>
      <w:r>
        <w:rPr>
          <w:rFonts w:ascii="Times New Roman" w:cs="Times New Roman" w:eastAsia="Times New Roman" w:hAnsi="Times New Roman"/>
          <w:sz w:val="17"/>
          <w:szCs w:val="17"/>
          <w:color w:val="auto"/>
        </w:rPr>
        <w:t>A key element of our strategy is centered on the goal of building and maintaining leading products and tools enterprises need to build, deploy, and manage modern, strategic business applications. We offer our products and tools to both new customers and partners, as well as our existing partner and customer ecosystems.</w:t>
      </w:r>
    </w:p>
    <w:p>
      <w:pPr>
        <w:spacing w:after="0" w:line="189"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7"/>
          <w:szCs w:val="17"/>
          <w:color w:val="auto"/>
        </w:rPr>
        <w:t>Our organizational philosophy and operating principles focus primarily on customer and partner retention and success, and a streamlined operating approach to drive predictable and stable recurring revenue and high levels of profitability.</w:t>
      </w:r>
    </w:p>
    <w:p>
      <w:pPr>
        <w:spacing w:after="0" w:line="16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7"/>
          <w:szCs w:val="17"/>
          <w:color w:val="auto"/>
        </w:rPr>
        <w:t>We are pursuing a total growth strategy driven by accretive acquisitions of businesses and products that meet our strict strategic, financial, and operating criteria, which help to further our goal of providing stockholder returns. In April 2019, we acquired Ipswitch; in October 2020, we acquired Chef Software; in November 2021, we acquired Kemp Technologies; in February 2023, we acquired MarkLogic; in October 2024, we acquired ShareFile; and in June 2025, we acquired Nuclia.</w:t>
      </w:r>
    </w:p>
    <w:p>
      <w:pPr>
        <w:spacing w:after="0" w:line="194"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7"/>
          <w:szCs w:val="17"/>
          <w:color w:val="auto"/>
        </w:rPr>
        <w:t>Our capital allocation policy emphasizes accretive M&amp;A, which we believe allows us to expand our business and drive significant stockholder returns. We also utilize share repurchases to return capital to stockholders. We currently intend to continue to repurchase our shares in sufficient quantities to offset dilution from our equity plans and may elect to conduct additional repurchases based on market conditions and other factors.</w:t>
      </w:r>
    </w:p>
    <w:p>
      <w:pPr>
        <w:spacing w:after="0" w:line="17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We expect to continue to pursue acquisitions meeting our financial criteria that are designed to expand our business and drive significant stockholder returns. As a result, our expected uses of cash could change, our cash position could be reduced, and we may incur additional debt obligations to the extent we complete additional acquisitions. However, we currently believe that existing cash balances, together with funds generated from operations and amounts available under our Credit Facility, will be sufficient to finance our operations and meet our foreseeable cash requirements, including stock repurchases, through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Development</w:t>
      </w:r>
    </w:p>
    <w:p>
      <w:pPr>
        <w:spacing w:after="0" w:line="23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7"/>
          <w:szCs w:val="17"/>
          <w:color w:val="auto"/>
        </w:rPr>
        <w:t xml:space="preserve">On October 31, 2024, we acquired ShareFile from Cloud Software Group, Inc. As a result of this acquisition, we recorded $96.2 million of deferred revenue and $464.0 million of intangible assets, as further described in Note 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in Part II, Item 8 of this Form 10-K. During fiscal 2025, the revenue from ShareFile was $261.6 million. We expect to recognize additional Software-as-a-Service ("SaaS") revenue, as well as increased amortization expense and interest expense, in future periods as a result of this acquisition.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Fiscal Year 2025 Compared to Fiscal Year 2024</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40"/>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Fiscal Year Ended</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60" w:type="dxa"/>
            <w:vAlign w:val="bottom"/>
            <w:tcBorders>
              <w:bottom w:val="single" w:sz="8" w:color="auto"/>
            </w:tcBorders>
            <w:gridSpan w:val="3"/>
          </w:tcPr>
          <w:p>
            <w:pPr>
              <w:jc w:val="right"/>
              <w:ind w:right="994"/>
              <w:spacing w:after="0"/>
              <w:rPr>
                <w:sz w:val="20"/>
                <w:szCs w:val="20"/>
                <w:color w:val="auto"/>
              </w:rPr>
            </w:pPr>
            <w:r>
              <w:rPr>
                <w:rFonts w:ascii="Times New Roman" w:cs="Times New Roman" w:eastAsia="Times New Roman" w:hAnsi="Times New Roman"/>
                <w:sz w:val="17"/>
                <w:szCs w:val="17"/>
                <w:color w:val="auto"/>
              </w:rPr>
              <w:t>Percentage Change</w:t>
            </w: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ind w:left="540"/>
              <w:spacing w:after="0" w:line="161" w:lineRule="exact"/>
              <w:rPr>
                <w:sz w:val="20"/>
                <w:szCs w:val="20"/>
                <w:color w:val="auto"/>
              </w:rPr>
            </w:pPr>
            <w:r>
              <w:rPr>
                <w:rFonts w:ascii="Times New Roman" w:cs="Times New Roman" w:eastAsia="Times New Roman" w:hAnsi="Times New Roman"/>
                <w:sz w:val="17"/>
                <w:szCs w:val="17"/>
                <w:color w:val="auto"/>
              </w:rPr>
              <w:t>Constant</w:t>
            </w:r>
          </w:p>
        </w:tc>
      </w:tr>
      <w:tr>
        <w:trPr>
          <w:trHeight w:val="233"/>
        </w:trPr>
        <w:tc>
          <w:tcPr>
            <w:tcW w:w="2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November 30, 2025</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November 30, 2024</w:t>
            </w:r>
          </w:p>
        </w:tc>
        <w:tc>
          <w:tcPr>
            <w:tcW w:w="17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As Reported</w:t>
            </w:r>
          </w:p>
        </w:tc>
        <w:tc>
          <w:tcPr>
            <w:tcW w:w="16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Currency</w:t>
            </w:r>
          </w:p>
        </w:tc>
      </w:tr>
      <w:tr>
        <w:trPr>
          <w:trHeight w:val="213"/>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977,831</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753,409</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r>
    </w:tbl>
    <w:p>
      <w:pPr>
        <w:spacing w:after="0" w:line="279"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7"/>
          <w:szCs w:val="17"/>
          <w:color w:val="auto"/>
        </w:rPr>
        <w:t>Total revenue increased as compared to the same period last year primarily due to our acquisition of ShareFile in the fourth quarter of fiscal year 2024. ShareFile revenue in fiscal year 2025 was $261.6 million. With an acquisition date of November 2024, ShareFile only contributed one month of revenue in fiscal year 2024 totaling $21.1 million.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Software Licenses Revenue</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6"/>
        </w:trPr>
        <w:tc>
          <w:tcPr>
            <w:tcW w:w="4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40" w:type="dxa"/>
            <w:vAlign w:val="bottom"/>
            <w:gridSpan w:val="5"/>
          </w:tcPr>
          <w:p>
            <w:pPr>
              <w:ind w:left="920"/>
              <w:spacing w:after="0"/>
              <w:rPr>
                <w:sz w:val="20"/>
                <w:szCs w:val="20"/>
                <w:color w:val="auto"/>
              </w:rPr>
            </w:pPr>
            <w:r>
              <w:rPr>
                <w:rFonts w:ascii="Times New Roman" w:cs="Times New Roman" w:eastAsia="Times New Roman" w:hAnsi="Times New Roman"/>
                <w:sz w:val="17"/>
                <w:szCs w:val="17"/>
                <w:color w:val="auto"/>
              </w:rPr>
              <w:t>Fiscal Year Ended</w:t>
            </w:r>
          </w:p>
        </w:tc>
        <w:tc>
          <w:tcPr>
            <w:tcW w:w="3400" w:type="dxa"/>
            <w:vAlign w:val="bottom"/>
            <w:gridSpan w:val="3"/>
          </w:tcPr>
          <w:p>
            <w:pPr>
              <w:jc w:val="right"/>
              <w:ind w:right="954"/>
              <w:spacing w:after="0"/>
              <w:rPr>
                <w:sz w:val="20"/>
                <w:szCs w:val="20"/>
                <w:color w:val="auto"/>
              </w:rPr>
            </w:pPr>
            <w:r>
              <w:rPr>
                <w:rFonts w:ascii="Times New Roman" w:cs="Times New Roman" w:eastAsia="Times New Roman" w:hAnsi="Times New Roman"/>
                <w:sz w:val="17"/>
                <w:szCs w:val="17"/>
                <w:color w:val="auto"/>
              </w:rPr>
              <w:t>Percentage Change</w:t>
            </w:r>
          </w:p>
        </w:tc>
      </w:tr>
      <w:tr>
        <w:trPr>
          <w:trHeight w:val="161"/>
        </w:trPr>
        <w:tc>
          <w:tcPr>
            <w:tcW w:w="4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ind w:left="520"/>
              <w:spacing w:after="0" w:line="161" w:lineRule="exact"/>
              <w:rPr>
                <w:sz w:val="20"/>
                <w:szCs w:val="20"/>
                <w:color w:val="auto"/>
              </w:rPr>
            </w:pPr>
            <w:r>
              <w:rPr>
                <w:rFonts w:ascii="Times New Roman" w:cs="Times New Roman" w:eastAsia="Times New Roman" w:hAnsi="Times New Roman"/>
                <w:sz w:val="17"/>
                <w:szCs w:val="17"/>
                <w:color w:val="auto"/>
              </w:rPr>
              <w:t>Constant</w:t>
            </w:r>
          </w:p>
        </w:tc>
      </w:tr>
      <w:tr>
        <w:trPr>
          <w:trHeight w:val="233"/>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30, 2025</w:t>
            </w:r>
          </w:p>
        </w:tc>
        <w:tc>
          <w:tcPr>
            <w:tcW w:w="12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30, 2024</w:t>
            </w: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As Reported</w:t>
            </w:r>
          </w:p>
        </w:tc>
        <w:tc>
          <w:tcPr>
            <w:tcW w:w="16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Currency</w:t>
            </w:r>
          </w:p>
        </w:tc>
      </w:tr>
      <w:tr>
        <w:trPr>
          <w:trHeight w:val="21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 licenses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237,887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249,331</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8"/>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33 %</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8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7"/>
          <w:szCs w:val="17"/>
          <w:color w:val="auto"/>
        </w:rPr>
        <w:t>Software licenses revenue decreased by $11.4 million as compared to the same period last year primarily due to timing of multi-year subscription renewals in our DataDirect product offering.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Maintenance, SaaS, and Professional Services Revenue</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Fiscal Year Ended</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0" w:type="dxa"/>
            <w:vAlign w:val="bottom"/>
            <w:tcBorders>
              <w:bottom w:val="single" w:sz="8" w:color="auto"/>
            </w:tcBorders>
            <w:gridSpan w:val="3"/>
          </w:tcPr>
          <w:p>
            <w:pPr>
              <w:jc w:val="right"/>
              <w:ind w:right="954"/>
              <w:spacing w:after="0"/>
              <w:rPr>
                <w:sz w:val="20"/>
                <w:szCs w:val="20"/>
                <w:color w:val="auto"/>
              </w:rPr>
            </w:pPr>
            <w:r>
              <w:rPr>
                <w:rFonts w:ascii="Times New Roman" w:cs="Times New Roman" w:eastAsia="Times New Roman" w:hAnsi="Times New Roman"/>
                <w:sz w:val="17"/>
                <w:szCs w:val="17"/>
                <w:color w:val="auto"/>
              </w:rPr>
              <w:t>Percentage Change</w:t>
            </w: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right"/>
              <w:ind w:right="434"/>
              <w:spacing w:after="0" w:line="168" w:lineRule="exact"/>
              <w:rPr>
                <w:sz w:val="20"/>
                <w:szCs w:val="20"/>
                <w:color w:val="auto"/>
              </w:rPr>
            </w:pPr>
            <w:r>
              <w:rPr>
                <w:rFonts w:ascii="Times New Roman" w:cs="Times New Roman" w:eastAsia="Times New Roman" w:hAnsi="Times New Roman"/>
                <w:sz w:val="17"/>
                <w:szCs w:val="17"/>
                <w:color w:val="auto"/>
              </w:rPr>
              <w:t>Constant</w:t>
            </w:r>
          </w:p>
        </w:tc>
        <w:tc>
          <w:tcPr>
            <w:tcW w:w="0" w:type="dxa"/>
            <w:vAlign w:val="bottom"/>
          </w:tcPr>
          <w:p>
            <w:pPr>
              <w:spacing w:after="0"/>
              <w:rPr>
                <w:sz w:val="1"/>
                <w:szCs w:val="1"/>
                <w:color w:val="auto"/>
              </w:rPr>
            </w:pPr>
          </w:p>
        </w:tc>
      </w:tr>
      <w:tr>
        <w:trPr>
          <w:trHeight w:val="225"/>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30, 2025</w:t>
            </w: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November 30, 2024</w:t>
            </w: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As Reported</w:t>
            </w:r>
          </w:p>
        </w:tc>
        <w:tc>
          <w:tcPr>
            <w:tcW w:w="164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Currency</w:t>
            </w:r>
          </w:p>
        </w:tc>
        <w:tc>
          <w:tcPr>
            <w:tcW w:w="0" w:type="dxa"/>
            <w:vAlign w:val="bottom"/>
          </w:tcPr>
          <w:p>
            <w:pPr>
              <w:spacing w:after="0"/>
              <w:rPr>
                <w:sz w:val="1"/>
                <w:szCs w:val="1"/>
                <w:color w:val="auto"/>
              </w:rPr>
            </w:pPr>
          </w:p>
        </w:tc>
      </w:tr>
      <w:tr>
        <w:trPr>
          <w:trHeight w:val="21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410,174</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410,556</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42 %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55 %</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SaaS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287,928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44,564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546 %</w:t>
            </w: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41,842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48,958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4 %</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6 %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maintenance, SaaS, and professional services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739,944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504,078</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76 %</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67 %</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Maintenance revenue remained relatively flat as compared to the same period last year. SaaS revenue increased as compared to the same period last year due to our acquisition of ShareFile. Professional services revenue decreased compared to the same period last year primarily due to a decrease in MarkLogic professional services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Cost of Software Licenses</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Fiscal Year Ended</w:t>
            </w:r>
          </w:p>
        </w:tc>
        <w:tc>
          <w:tcPr>
            <w:tcW w:w="1660" w:type="dxa"/>
            <w:vAlign w:val="bottom"/>
            <w:tcBorders>
              <w:bottom w:val="single" w:sz="8" w:color="auto"/>
            </w:tcBorders>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30, 2025</w:t>
            </w: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November 30, 2024</w:t>
            </w: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Percentage Change</w:t>
            </w:r>
          </w:p>
        </w:tc>
      </w:tr>
      <w:tr>
        <w:trPr>
          <w:trHeight w:val="21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software licenses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12,605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10,942</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28"/>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software license revenue</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4 %</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97"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Cost of software licenses consists primarily of royalties, electronic software distribution, duplication, and packaging. Cost of software licenses as a percentage of software licenses revenue varies from period to period depending upon the relative product mix. The increase as compared to the same period last year was primarily due to increased hardware sales.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Cost of Maintenance, SaaS, and Professional Services</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Fiscal Year Ended</w:t>
            </w:r>
          </w:p>
        </w:tc>
        <w:tc>
          <w:tcPr>
            <w:tcW w:w="1660" w:type="dxa"/>
            <w:vAlign w:val="bottom"/>
            <w:tcBorders>
              <w:bottom w:val="single" w:sz="8" w:color="auto"/>
            </w:tcBorders>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30, 2025</w:t>
            </w: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November 30, 2024</w:t>
            </w: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Percentage Change</w:t>
            </w:r>
          </w:p>
        </w:tc>
      </w:tr>
      <w:tr>
        <w:trPr>
          <w:trHeight w:val="21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maintenance, SaaS, and professional services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133,750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90,318</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r>
      <w:tr>
        <w:trPr>
          <w:trHeight w:val="228"/>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maintenance, SaaS, and professional services revenue</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18 %</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84"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Cost of maintenance, SaaS, and professional services consists primarily of costs of hosting, personnel costs for providing customer support, consulting, and education. The increase year-over-year was primarily due to increased headcount and hosting costs resulting from our acquisition of ShareFile, partially offset by decreased contractors and outside services costs.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Amortization of Acquired Intangibles - Costs of Revenue</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Fiscal Year Ended</w:t>
            </w:r>
          </w:p>
        </w:tc>
        <w:tc>
          <w:tcPr>
            <w:tcW w:w="1660" w:type="dxa"/>
            <w:vAlign w:val="bottom"/>
            <w:tcBorders>
              <w:bottom w:val="single" w:sz="8" w:color="auto"/>
            </w:tcBorders>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30, 2025</w:t>
            </w: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November 30, 2024</w:t>
            </w: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Percentage Change</w:t>
            </w:r>
          </w:p>
        </w:tc>
      </w:tr>
      <w:tr>
        <w:trPr>
          <w:trHeight w:val="21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acquired intangibles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41,226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29,222</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r>
      <w:tr>
        <w:trPr>
          <w:trHeight w:val="228"/>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4 %</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97" w:lineRule="exact"/>
        <w:rPr>
          <w:sz w:val="20"/>
          <w:szCs w:val="20"/>
          <w:color w:val="auto"/>
        </w:rPr>
      </w:pPr>
    </w:p>
    <w:p>
      <w:pPr>
        <w:ind w:right="380"/>
        <w:spacing w:after="0" w:line="291" w:lineRule="auto"/>
        <w:rPr>
          <w:sz w:val="20"/>
          <w:szCs w:val="20"/>
          <w:color w:val="auto"/>
        </w:rPr>
      </w:pPr>
      <w:r>
        <w:rPr>
          <w:rFonts w:ascii="Times New Roman" w:cs="Times New Roman" w:eastAsia="Times New Roman" w:hAnsi="Times New Roman"/>
          <w:sz w:val="17"/>
          <w:szCs w:val="17"/>
          <w:color w:val="auto"/>
        </w:rPr>
        <w:t>Amortization of acquired intangibles included in costs of revenue primarily represents the amortization of the value assigned to technology-related intangible assets obtained in business combinations. The year-over-year increase was due to the acquisitions of ShareFile and Nuclia.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6"/>
        </w:trPr>
        <w:tc>
          <w:tcPr>
            <w:tcW w:w="60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Fiscal Year Ended</w:t>
            </w:r>
          </w:p>
        </w:tc>
        <w:tc>
          <w:tcPr>
            <w:tcW w:w="1660" w:type="dxa"/>
            <w:vAlign w:val="bottom"/>
            <w:tcBorders>
              <w:bottom w:val="single" w:sz="8" w:color="auto"/>
            </w:tcBorders>
          </w:tcPr>
          <w:p>
            <w:pPr>
              <w:spacing w:after="0"/>
              <w:rPr>
                <w:sz w:val="21"/>
                <w:szCs w:val="21"/>
                <w:color w:val="auto"/>
              </w:rPr>
            </w:pPr>
          </w:p>
        </w:tc>
      </w:tr>
      <w:tr>
        <w:trPr>
          <w:trHeight w:val="21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30, 2025</w:t>
            </w: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November 30, 2024</w:t>
            </w: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Percentage Change</w:t>
            </w:r>
          </w:p>
        </w:tc>
      </w:tr>
      <w:tr>
        <w:trPr>
          <w:trHeight w:val="21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211,013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164,570</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228"/>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22 %</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8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7"/>
          <w:szCs w:val="17"/>
          <w:color w:val="auto"/>
        </w:rPr>
        <w:t>Sales and marketing expenses increased in fiscal year 2025 due to increased personnel related costs, increased marketing and sales events costs, and increased contractors and outside services costs, each associated with our acquisition of ShareFile.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Product Development</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Fiscal Year Ended</w:t>
            </w:r>
          </w:p>
        </w:tc>
        <w:tc>
          <w:tcPr>
            <w:tcW w:w="1660" w:type="dxa"/>
            <w:vAlign w:val="bottom"/>
            <w:tcBorders>
              <w:bottom w:val="single" w:sz="8" w:color="auto"/>
            </w:tcBorders>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30, 2025</w:t>
            </w: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November 30, 2024</w:t>
            </w: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Percentage Change</w:t>
            </w:r>
          </w:p>
        </w:tc>
      </w:tr>
      <w:tr>
        <w:trPr>
          <w:trHeight w:val="21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development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192,265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146,342</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r>
      <w:tr>
        <w:trPr>
          <w:trHeight w:val="228"/>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19 %</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97"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7"/>
          <w:szCs w:val="17"/>
          <w:color w:val="auto"/>
        </w:rPr>
        <w:t>Product development expenses increased in fiscal year 2025 primarily due to increased personnel related costs, as well as an increase in contractors and outside services costs, each associated with our acquisition of ShareFile.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Fiscal Year Ended</w:t>
            </w:r>
          </w:p>
        </w:tc>
        <w:tc>
          <w:tcPr>
            <w:tcW w:w="1660" w:type="dxa"/>
            <w:vAlign w:val="bottom"/>
            <w:tcBorders>
              <w:bottom w:val="single" w:sz="8" w:color="auto"/>
            </w:tcBorders>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30, 2025</w:t>
            </w: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November 30, 2024</w:t>
            </w: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Percentage Change</w:t>
            </w:r>
          </w:p>
        </w:tc>
      </w:tr>
      <w:tr>
        <w:trPr>
          <w:trHeight w:val="21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108,215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89,518</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28"/>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12 %</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97"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General and administrative expenses include the costs of our finance, human resources, legal, information systems, and administrative departments. General and administrative expenses increased in fiscal year 2025 primarily due to higher personnel related costs, contractors and outside services, and other general and administrative costs, each associated with our acquisition of ShareFile.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Amortization of Acquired Intangibles - Operating Expenses</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Fiscal Year Ended</w:t>
            </w:r>
          </w:p>
        </w:tc>
        <w:tc>
          <w:tcPr>
            <w:tcW w:w="1660" w:type="dxa"/>
            <w:vAlign w:val="bottom"/>
            <w:tcBorders>
              <w:bottom w:val="single" w:sz="8" w:color="auto"/>
            </w:tcBorders>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30, 2025</w:t>
            </w: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November 30, 2024</w:t>
            </w: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Percentage Change</w:t>
            </w:r>
          </w:p>
        </w:tc>
      </w:tr>
      <w:tr>
        <w:trPr>
          <w:trHeight w:val="21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acquired intangibles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104,266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65,290</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r>
      <w:tr>
        <w:trPr>
          <w:trHeight w:val="228"/>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9 %</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84" w:lineRule="exact"/>
        <w:rPr>
          <w:sz w:val="20"/>
          <w:szCs w:val="20"/>
          <w:color w:val="auto"/>
        </w:rPr>
      </w:pPr>
    </w:p>
    <w:p>
      <w:pPr>
        <w:ind w:right="520"/>
        <w:spacing w:after="0" w:line="291" w:lineRule="auto"/>
        <w:rPr>
          <w:sz w:val="20"/>
          <w:szCs w:val="20"/>
          <w:color w:val="auto"/>
        </w:rPr>
      </w:pPr>
      <w:r>
        <w:rPr>
          <w:rFonts w:ascii="Times New Roman" w:cs="Times New Roman" w:eastAsia="Times New Roman" w:hAnsi="Times New Roman"/>
          <w:sz w:val="17"/>
          <w:szCs w:val="17"/>
          <w:color w:val="auto"/>
        </w:rPr>
        <w:t>Amortization of intangibles included in operating expenses primarily represents the amortization of value assigned to intangible assets obtained in business combinations other than assets identified as purchased technology. The year-over-year increase was due to the acquisitions of ShareFile and Nuclia.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Restructuring Expenses</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Fiscal Year Ended</w:t>
            </w:r>
          </w:p>
        </w:tc>
        <w:tc>
          <w:tcPr>
            <w:tcW w:w="1660" w:type="dxa"/>
            <w:vAlign w:val="bottom"/>
            <w:tcBorders>
              <w:bottom w:val="single" w:sz="8" w:color="auto"/>
            </w:tcBorders>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30, 2025</w:t>
            </w: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November 30, 2024</w:t>
            </w: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Percentage Change</w:t>
            </w:r>
          </w:p>
        </w:tc>
      </w:tr>
      <w:tr>
        <w:trPr>
          <w:trHeight w:val="21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13,109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10,454</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r>
      <w:tr>
        <w:trPr>
          <w:trHeight w:val="228"/>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1 %</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8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7"/>
          <w:szCs w:val="17"/>
          <w:color w:val="auto"/>
        </w:rPr>
        <w:t xml:space="preserve">Restructuring expenses recorded in fiscal year 2025 primarily relate to headcount reductions in connection with the restructuring action related to the ShareFile acquisition in November 2024 and to a headcount reduction action in November 2025. See Note 13, </w:t>
      </w:r>
      <w:r>
        <w:rPr>
          <w:rFonts w:ascii="Times New Roman" w:cs="Times New Roman" w:eastAsia="Times New Roman" w:hAnsi="Times New Roman"/>
          <w:sz w:val="17"/>
          <w:szCs w:val="17"/>
          <w:i w:val="1"/>
          <w:iCs w:val="1"/>
          <w:color w:val="auto"/>
        </w:rPr>
        <w:t>Restructuring</w:t>
      </w:r>
      <w:r>
        <w:rPr>
          <w:rFonts w:ascii="Times New Roman" w:cs="Times New Roman" w:eastAsia="Times New Roman" w:hAnsi="Times New Roman"/>
          <w:sz w:val="17"/>
          <w:szCs w:val="17"/>
          <w:color w:val="auto"/>
        </w:rPr>
        <w:t>, in Part II, Item 8 of this Form 10-K for additional details, including types of expenses incurred and the timing of future expenses and cash payments.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Acquisition-Related Expenses</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6"/>
        </w:trPr>
        <w:tc>
          <w:tcPr>
            <w:tcW w:w="60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Fiscal Year Ended</w:t>
            </w:r>
          </w:p>
        </w:tc>
        <w:tc>
          <w:tcPr>
            <w:tcW w:w="1660" w:type="dxa"/>
            <w:vAlign w:val="bottom"/>
            <w:tcBorders>
              <w:bottom w:val="single" w:sz="8" w:color="auto"/>
            </w:tcBorders>
          </w:tcPr>
          <w:p>
            <w:pPr>
              <w:spacing w:after="0"/>
              <w:rPr>
                <w:sz w:val="21"/>
                <w:szCs w:val="21"/>
                <w:color w:val="auto"/>
              </w:rPr>
            </w:pPr>
          </w:p>
        </w:tc>
      </w:tr>
      <w:tr>
        <w:trPr>
          <w:trHeight w:val="21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November 30, 2025</w:t>
            </w: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November 30, 2024</w:t>
            </w: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Percentage Change</w:t>
            </w:r>
          </w:p>
        </w:tc>
      </w:tr>
      <w:tr>
        <w:trPr>
          <w:trHeight w:val="21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17,109</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28"/>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2 %</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7"/>
          <w:szCs w:val="17"/>
          <w:color w:val="auto"/>
        </w:rPr>
        <w:t>Acquisition-related costs are expensed as incurred and include those costs incurred as a result of a business combination. These costs primarily consist of professional services fees, including third-party legal and valuation-related fees, as well as retention fees. Acquisition-related expenses in fiscal year 2025 were primarily related to the acquisitions of ShareFile and Nuclia, as well as our pursuit of other acquisition opportunities. Acquisition-related expenses in fiscal year 2024 were primarily related to our acquisition of ShareFile, as well as our pursuit of other acquisition opportunities.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8"/>
        </w:trPr>
        <w:tc>
          <w:tcPr>
            <w:tcW w:w="6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Cyber Incident and Vulnerability Response Expenses, Net</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6"/>
        </w:trPr>
        <w:tc>
          <w:tcPr>
            <w:tcW w:w="60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Fiscal Year Ended</w:t>
            </w:r>
          </w:p>
        </w:tc>
        <w:tc>
          <w:tcPr>
            <w:tcW w:w="1660" w:type="dxa"/>
            <w:vAlign w:val="bottom"/>
            <w:tcBorders>
              <w:bottom w:val="single" w:sz="8" w:color="auto"/>
            </w:tcBorders>
          </w:tcPr>
          <w:p>
            <w:pPr>
              <w:spacing w:after="0"/>
              <w:rPr>
                <w:sz w:val="21"/>
                <w:szCs w:val="21"/>
                <w:color w:val="auto"/>
              </w:rPr>
            </w:pPr>
          </w:p>
        </w:tc>
      </w:tr>
      <w:tr>
        <w:trPr>
          <w:trHeight w:val="21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30, 2025</w:t>
            </w: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November 30, 2024</w:t>
            </w: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Percentage Change</w:t>
            </w:r>
          </w:p>
        </w:tc>
      </w:tr>
      <w:tr>
        <w:trPr>
          <w:trHeight w:val="21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Cyber incident and vulnerability responses expenses,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5,641</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8"/>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20" w:type="dxa"/>
            <w:vAlign w:val="bottom"/>
          </w:tcPr>
          <w:p>
            <w:pPr>
              <w:spacing w:after="0"/>
              <w:rPr>
                <w:sz w:val="19"/>
                <w:szCs w:val="19"/>
                <w:color w:val="auto"/>
              </w:rPr>
            </w:pPr>
          </w:p>
        </w:tc>
        <w:tc>
          <w:tcPr>
            <w:tcW w:w="1640" w:type="dxa"/>
            <w:vAlign w:val="bottom"/>
            <w:gridSpan w:val="2"/>
          </w:tcPr>
          <w:p>
            <w:pPr>
              <w:ind w:left="1180"/>
              <w:spacing w:after="0"/>
              <w:rPr>
                <w:sz w:val="20"/>
                <w:szCs w:val="20"/>
                <w:color w:val="auto"/>
              </w:rPr>
            </w:pPr>
            <w:r>
              <w:rPr>
                <w:rFonts w:ascii="Times New Roman" w:cs="Times New Roman" w:eastAsia="Times New Roman" w:hAnsi="Times New Roman"/>
                <w:sz w:val="17"/>
                <w:szCs w:val="17"/>
                <w:i w:val="1"/>
                <w:iCs w:val="1"/>
                <w:color w:val="auto"/>
              </w:rPr>
              <w:t>—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1 %</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8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 xml:space="preserve">As previously disclosed, following the discovery of the MOVEit Vulnerability that was disclosed on June 5, 2023, in each instance, we engaged outside cybersecurity experts and other incident response professionals to conduct a forensic investigation and assess the extent and scope of these matters. Cyber incident and MOVEit Vulnerability costs relate to the engagement of external cybersecurity experts and other incident response professionals and are net of received and expected insurance recoveries. See Note 17, </w:t>
      </w:r>
      <w:r>
        <w:rPr>
          <w:rFonts w:ascii="Times New Roman" w:cs="Times New Roman" w:eastAsia="Times New Roman" w:hAnsi="Times New Roman"/>
          <w:sz w:val="17"/>
          <w:szCs w:val="17"/>
          <w:i w:val="1"/>
          <w:iCs w:val="1"/>
          <w:color w:val="auto"/>
        </w:rPr>
        <w:t>Cyber Related Matters</w:t>
      </w:r>
      <w:r>
        <w:rPr>
          <w:rFonts w:ascii="Times New Roman" w:cs="Times New Roman" w:eastAsia="Times New Roman" w:hAnsi="Times New Roman"/>
          <w:sz w:val="17"/>
          <w:szCs w:val="17"/>
          <w:color w:val="auto"/>
        </w:rPr>
        <w:t>, in Part II, Item 8 of this Form 10-K for further discussion.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Other (Expense) Income</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Fiscal Year Ended</w:t>
            </w:r>
          </w:p>
        </w:tc>
        <w:tc>
          <w:tcPr>
            <w:tcW w:w="1660" w:type="dxa"/>
            <w:vAlign w:val="bottom"/>
            <w:tcBorders>
              <w:bottom w:val="single" w:sz="8" w:color="auto"/>
            </w:tcBorders>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30, 2025</w:t>
            </w: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November 30, 2024</w:t>
            </w: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Percentage Change</w:t>
            </w:r>
          </w:p>
        </w:tc>
      </w:tr>
      <w:tr>
        <w:trPr>
          <w:trHeight w:val="21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(70,850)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(32,012)</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121 %</w:t>
            </w:r>
          </w:p>
        </w:tc>
      </w:tr>
      <w:tr>
        <w:trPr>
          <w:trHeight w:val="220"/>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 and other, net</w:t>
            </w:r>
          </w:p>
        </w:tc>
        <w:tc>
          <w:tcPr>
            <w:tcW w:w="120" w:type="dxa"/>
            <w:vAlign w:val="bottom"/>
          </w:tcPr>
          <w:p>
            <w:pPr>
              <w:spacing w:after="0"/>
              <w:rPr>
                <w:sz w:val="19"/>
                <w:szCs w:val="19"/>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4,734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loss, net</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(2,571)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(2,461)</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expense,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(71,662)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(29,739)</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bl>
    <w:p>
      <w:pPr>
        <w:spacing w:after="0" w:line="292"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7"/>
          <w:szCs w:val="17"/>
          <w:color w:val="auto"/>
        </w:rPr>
        <w:t xml:space="preserve">Total other expense, net, increased in fiscal year 2025 due to increases in interest expense resulting from costs associated with drawing on our revolving line of credit to acquire ShareFile. Refer to Note 6,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in Part II, Item 8 of this Form 10-K for further discussion. Foreign currency loss, net increased year-over-year due to rate volatility and timing of intercompany and hedge settlement activities. Interest income and other, net decreased in fiscal year 2025 due to decreases in interest income on our invested cash balances.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Provision for Income Taxes</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6"/>
        </w:trPr>
        <w:tc>
          <w:tcPr>
            <w:tcW w:w="60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Fiscal Year Ended</w:t>
            </w:r>
          </w:p>
        </w:tc>
        <w:tc>
          <w:tcPr>
            <w:tcW w:w="1660" w:type="dxa"/>
            <w:vAlign w:val="bottom"/>
            <w:tcBorders>
              <w:bottom w:val="single" w:sz="8" w:color="auto"/>
            </w:tcBorders>
          </w:tcPr>
          <w:p>
            <w:pPr>
              <w:spacing w:after="0"/>
              <w:rPr>
                <w:sz w:val="21"/>
                <w:szCs w:val="21"/>
                <w:color w:val="auto"/>
              </w:rPr>
            </w:pPr>
          </w:p>
        </w:tc>
      </w:tr>
      <w:tr>
        <w:trPr>
          <w:trHeight w:val="21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November 30, 2025</w:t>
            </w: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November 30, 2024</w:t>
            </w: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Percentage Change</w:t>
            </w:r>
          </w:p>
        </w:tc>
      </w:tr>
      <w:tr>
        <w:trPr>
          <w:trHeight w:val="21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8,495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25,826</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28"/>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income before income taxes</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27 %</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7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7"/>
          <w:szCs w:val="17"/>
          <w:color w:val="auto"/>
        </w:rPr>
        <w:t>Our effective income tax rate was 10% and 27% for fiscal years 2025 and 2024, respectively. The primary reason for the year-over-year decrease in the effective rate was because the Company recorded tax expense of $13.7 million in fiscal year 2024 related to the taxes expected to be imposed upon the repatriation of unremitted foreign earnings that were not considered indefinitely reinvested. In fiscal year 2025, the Company recorded a tax benefit of $7.5 million as a result of a change in the Company’s estimate of its deferred tax liability associated with unremitted foreign earnings.</w:t>
      </w:r>
    </w:p>
    <w:p>
      <w:pPr>
        <w:spacing w:after="0" w:line="20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into law, introducing significant changes to the U.S. federal income tax system. The legislation contains key modifications to the provisions of the 2017 Tax Cuts and Jobs Act and has multiple effective dates. There is no material impact to the tax provision for fiscal 2025. The majority of the legislative provisions become effective in our fiscal years 2026 and 2027. The enactment of OBBBA is not expected to materially impact our fiscal year 2026 provision for income taxes; however, we do expect a reduction in current taxes payable as a result of OBBBA because beginning in our fiscal 2026, provisions under OBBBA allow for an immediate deduction for U.S. R&amp;E expenditures. We will continue to evaluate the full impact of these legislative changes as additional guidance becomes available.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Select Performance Metrics:</w:t>
      </w:r>
    </w:p>
    <w:p>
      <w:pPr>
        <w:spacing w:after="0" w:line="23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Management evaluates our financial performance using a number of financial and operating metrics. These metrics are periodically reviewed and revised to reflect changes in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Annualized Recurring Revenue ("ARR")</w:t>
      </w:r>
    </w:p>
    <w:p>
      <w:pPr>
        <w:spacing w:after="0" w:line="222"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7"/>
          <w:szCs w:val="17"/>
          <w:color w:val="auto"/>
        </w:rPr>
        <w:t>We disclose ARR as a performance metric to help investors better understand and assess the performance of our business because our mix of revenue generated from recurring sources currently represents the substantial majority of our revenues and is expected to continue in the future. We define ARR as the annualized revenue of all active and contractually binding term-based contracts from all customers at a point in time. ARR includes revenue from maintenance, software upgrade rights, public cloud, and on-premises subscription-based transactions and managed services. ARR mitigates fluctuations in revenue due to seasonality, contract term, and the sales mix of subscriptions for term-based licenses and SaaS. We use ARR to understand customer trends and the overall health of the Company's business, helping it to formulate strategic business decisions.</w:t>
      </w:r>
    </w:p>
    <w:p>
      <w:pPr>
        <w:spacing w:after="0" w:line="20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We calculate the annualized value of annual and multi-year contracts, and contracts with terms less than one year, by dividing the total contract value of each contract by the number of months in the term and then multiplying by 12. Annualizing contracts with terms less than one-year results in amounts being included in our ARR that are in excess of the total contract value for those contracts at the end of the reporting period. We generally do not sell non-SaaS-based contracts with a term of less than one year unless a customer is purchasing additional licenses under an existing annual or multi-year contract. The expectation is that at the time of renewal, such contracts with a term less than one year will renew with the same term as the existing contracts being renewed, such that both contracts are co-termed. Historically, such contracts with a term of less than one year renew at rates equal to or better than annual or multi-year contracts.</w:t>
      </w:r>
    </w:p>
    <w:p>
      <w:pPr>
        <w:spacing w:after="0" w:line="201"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7"/>
          <w:szCs w:val="17"/>
          <w:color w:val="auto"/>
        </w:rPr>
        <w:t>For SaaS -based contracts, there is a meaningful percentage of monthly auto-renewing contracts for which annualizing the contracts results in amounts being included in our ARR that are in excess of the total contract value for those contracts at the end of the reporting period.</w:t>
      </w:r>
    </w:p>
    <w:p>
      <w:pPr>
        <w:spacing w:after="0" w:line="173"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7"/>
          <w:szCs w:val="17"/>
          <w:color w:val="auto"/>
        </w:rPr>
        <w:t>Revenue from term-based license and on-premises subscription arrangements include a portion of the arrangement consideration that is allocated to the software license that is recognized up-front at the point in time control is transferred under ASC 606 revenue recognition principles. ARR for these arrangements is calculated as described above. The expectation is that the total contract value, inclusive of revenue recognized as software license, will be renewed at the end of the contract term.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calculation is done at constant currency using the current year budgeted exchange rates for all periods presented.</w:t>
      </w:r>
    </w:p>
    <w:p>
      <w:pPr>
        <w:spacing w:after="0" w:line="23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ARR is not defined in GAAP and is not derived from a GAAP measure. Rather, ARR generally aligns to billings (as opposed to GAAP revenue which aligns to the transfer of control of each performance obligation). ARR does not have any standardized meaning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ARR was $852.0 million and $837.0 million as of November 30, 2025 and 2024, respectively, which is an increase of 2% year-over-year.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Retention Rate</w:t>
      </w:r>
    </w:p>
    <w:p>
      <w:pPr>
        <w:spacing w:after="0" w:line="24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We calculate net retention rate as of a period end by starting with the ARR from the cohort of all customers as of 12 months prior to such period end ("Prior Period ARR"). We then calculate the ARR from these same customers as of the current period end ("Current Period ARR"). Current Period ARR includes any expansion and is net of contraction or attrition over the last 12 months but excludes ARR from new customers in the current period. We then divide the total Current Period ARR by the total Prior Period ARR to arrive at the net retention rate. Net retention rate is not calculated in accordance with GAAP and is not derived from a GAAP measure.</w:t>
      </w:r>
    </w:p>
    <w:p>
      <w:pPr>
        <w:spacing w:after="0" w:line="194"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7"/>
          <w:szCs w:val="17"/>
          <w:color w:val="auto"/>
        </w:rPr>
        <w:t>Our net retention rates have generally ranged between 100% and 102% for all periods presented. We believe net retention rates can be a helpful indicator of the durability of top line performance.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8"/>
        </w:trPr>
        <w:tc>
          <w:tcPr>
            <w:tcW w:w="7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0"/>
        </w:trPr>
        <w:tc>
          <w:tcPr>
            <w:tcW w:w="73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Cash and Cash Equivalents</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6"/>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1"/>
                <w:szCs w:val="21"/>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November 30, 2025</w:t>
            </w:r>
          </w:p>
        </w:tc>
        <w:tc>
          <w:tcPr>
            <w:tcW w:w="180" w:type="dxa"/>
            <w:vAlign w:val="bottom"/>
          </w:tcPr>
          <w:p>
            <w:pPr>
              <w:spacing w:after="0"/>
              <w:rPr>
                <w:sz w:val="21"/>
                <w:szCs w:val="21"/>
                <w:color w:val="auto"/>
              </w:rPr>
            </w:pPr>
          </w:p>
        </w:tc>
        <w:tc>
          <w:tcPr>
            <w:tcW w:w="17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November 30, 2024</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118,077</w:t>
            </w:r>
          </w:p>
        </w:tc>
      </w:tr>
    </w:tbl>
    <w:p>
      <w:pPr>
        <w:spacing w:after="0" w:line="29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7"/>
          <w:szCs w:val="17"/>
          <w:color w:val="auto"/>
        </w:rPr>
        <w:t>The decrease in cash and cash equivalents of $23.3 million from the end of fiscal year 2024 was primarily due to cash outflows of $130.0 million to pay down the revolving line of credit, repurchases of common stock of $105.0 million, $20.3 million to acquire Nuclia, payment of debt issuance costs of $6.2 million, and purchases of property and equipment of $5.7 million. These cash outflows were partially offset by cash inflows from operations of $235.2 million, the effect of exchange rates on cash of $6.8 million, and $3.8 million in cash received from the issuance of common stock. Except as described below, there are no limitations on our ability to access our cash and cash equivalents.</w:t>
      </w:r>
    </w:p>
    <w:p>
      <w:pPr>
        <w:spacing w:after="0" w:line="20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 xml:space="preserve">Cash and cash equivalents held by our foreign subsidiaries were $55.1 million at November 30, 2025. As a result of the ShareFile acquisition, in the fourth quarter of fiscal 2024 we determined that a substantial portion of unremitted foreign earnings are no longer indefinitely reinvested. As a result of this, we plan to utilize worldwide cash based on the needs of the parent entity. These amounts will be repatriated as needed. Deferred taxes are recorded for earnings of our foreign operations that we determine are not indefinitely reinvested. Refer to Note 14,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in Part II, Item 8 of this Form 10-K for further information.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Fiscal Year Ended</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3"/>
        </w:trPr>
        <w:tc>
          <w:tcPr>
            <w:tcW w:w="634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November 30, 2025</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November 30, 2024</w:t>
            </w: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1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flows from operating activities</w:t>
            </w: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235,187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center"/>
              <w:ind w:left="654"/>
              <w:spacing w:after="0"/>
              <w:rPr>
                <w:sz w:val="20"/>
                <w:szCs w:val="20"/>
                <w:color w:val="auto"/>
              </w:rPr>
            </w:pPr>
            <w:r>
              <w:rPr>
                <w:rFonts w:ascii="Times New Roman" w:cs="Times New Roman" w:eastAsia="Times New Roman" w:hAnsi="Times New Roman"/>
                <w:sz w:val="17"/>
                <w:szCs w:val="17"/>
                <w:color w:val="auto"/>
                <w:w w:val="97"/>
              </w:rPr>
              <w:t>211,494</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173,920</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flows used in investing activities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(26,919)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center"/>
              <w:ind w:left="634"/>
              <w:spacing w:after="0"/>
              <w:rPr>
                <w:sz w:val="20"/>
                <w:szCs w:val="20"/>
                <w:color w:val="auto"/>
              </w:rPr>
            </w:pPr>
            <w:r>
              <w:rPr>
                <w:rFonts w:ascii="Times New Roman" w:cs="Times New Roman" w:eastAsia="Times New Roman" w:hAnsi="Times New Roman"/>
                <w:sz w:val="17"/>
                <w:szCs w:val="17"/>
                <w:color w:val="auto"/>
              </w:rPr>
              <w:t>(857,908)</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(360,382)</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flows (used in) from financing activities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(238,369)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7"/>
                <w:szCs w:val="17"/>
                <w:color w:val="auto"/>
              </w:rPr>
              <w:t>640,823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51,188</w:t>
            </w: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233" w:lineRule="exact"/>
        <w:rPr>
          <w:sz w:val="20"/>
          <w:szCs w:val="20"/>
          <w:color w:val="auto"/>
        </w:rPr>
      </w:pPr>
    </w:p>
    <w:p>
      <w:pPr>
        <w:jc w:val="both"/>
        <w:ind w:right="180"/>
        <w:spacing w:after="0" w:line="248" w:lineRule="auto"/>
        <w:rPr>
          <w:sz w:val="20"/>
          <w:szCs w:val="20"/>
          <w:color w:val="auto"/>
        </w:rPr>
      </w:pPr>
      <w:r>
        <w:rPr>
          <w:rFonts w:ascii="Times New Roman" w:cs="Times New Roman" w:eastAsia="Times New Roman" w:hAnsi="Times New Roman"/>
          <w:sz w:val="17"/>
          <w:szCs w:val="17"/>
          <w:color w:val="auto"/>
        </w:rPr>
        <w:t>The increase in cash generated from operations in fiscal year 2025 as compared to fiscal year 2024 was primarily due to higher billings and collections, partially offset by increased interest expense resulting from the draw down on our revolving line of credit in the fourth quarter of fiscal year 2024, and increased costs of revenue and operating expenses associated with our acquisition of ShareFile.</w:t>
      </w:r>
    </w:p>
    <w:p>
      <w:pPr>
        <w:spacing w:after="0" w:line="20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Our gross accounts receivable as of November 30, 2025, increased by $37.7 million from the end of fiscal year 2024. Days sales outstanding ("DSO") in accounts receivable increased to 73 days as compared to 67 days in fiscal year 2024 due to the timing of billings and collections. In addition, our deferred revenue as of November 30, 2025, increased by $20.7 million from the end of fiscal year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246"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Net cash outflows and inflows of our net investment activity are generally a result of the timing of acquisitions. Included in investing activities in fiscal year 2025 was the acquisition of Nuclia for a net cash paid amount of $20.0 million, as well as $1.2 million of additional ShareFile purchase consideration. In fiscal year 2024 we acquired ShareFile for a net cash paid amount of $852.7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(used in) from Financing Activities</w:t>
      </w:r>
    </w:p>
    <w:p>
      <w:pPr>
        <w:spacing w:after="0" w:line="24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During fiscal year 2025 we made payments on our revolving line of credit of $130.0 million and made $6.2 million in payments for issuance costs related to the amendment of the revolving credit facility. During fiscal year 2024 we received $748.5 million in net proceeds from debt related to the refinancing of our debt in the second quarter of fiscal year 2024 and the draw down on our revolving line of credit in the fourth quarter of 2024. We also repurchased $105.0 million of our common stock under our share repurchase plan in fiscal year 2025 as compared to $86.8 million in fiscal year 2024. In addition, in fiscal year 2025, we received $19.0 million from the exercise of stock options and the issuance of shares under our employee stock purchase plan as compared to $27.8 million in fiscal year 2024.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color w:val="auto"/>
        </w:rPr>
        <w:t>Share Repurchases</w:t>
      </w:r>
    </w:p>
    <w:p>
      <w:pPr>
        <w:spacing w:after="0" w:line="24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In fiscal years 2025, 2024, and 2023, we repurchased and retired 2.1 million, 1.6 million, and 0.6 million shares of our common stock for $105.0 million, $86.8 million, and $34.0 million, respectively. On September 23, 2025, our Board of Directors increased the share repurchase authorization by $200.0 million, to an aggregate authorization of $242.2 million. As of November 30, 2025, there was $202.2 million remaining under the current share repurchase authorization. The timing and amount of any shares repurchased will be determined by management based on its evaluation of market conditions and other factors, and the Board of Directors may choose to suspend, expand, or discontinue the repurchase program at any time. Excise tax was insignificant for all years presented.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24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Upon the closing of the ShareFile acquisition on October 31, 2024, our Board of Directors approved the suspension of our quarterly dividends. We plan to redirect such capital toward the repayment of debt to increase liquidity for future M&amp;A and for share repurchases, both of which are prioritized in our capital allocation policy. Prior to the suspension of the quarterly dividend in the fourth fiscal quarter of 2024, we had paid aggregate cash dividends totaling $31.5 million and $31.6 million for the years ended November 30, 2024 and 2023,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Senior Notes and Long-Term Debt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See Note 6,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in Part II, Item 8 of this Form 10-K for further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Indemnification Obligations</w:t>
      </w:r>
    </w:p>
    <w:p>
      <w:pPr>
        <w:spacing w:after="0" w:line="2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7"/>
          <w:szCs w:val="17"/>
          <w:color w:val="auto"/>
        </w:rPr>
        <w:t xml:space="preserve">We include standard intellectual property indemnification provisions in our licensing agreements in the ordinary course of business. Pursuant to our product license agreements, we will indemnify, hold harmless, and agree to reimburse the indemnified party for losses suffered or incurred by the indemnified party, generally business partners or customers, in connection with certain patent, copyright, or other intellectual property infringement claims by third parties with respect to our products. Other agreements with our customers provide indemnification for claims relating to property damage or personal injury resulting from the performance of services by us or our subcontractors. Historically, our costs to defend lawsuits or settle claims relating to such indemnity agreements have been insignificant. Accordingly, the estimated fair value of these indemnification provisions is insignificant. Please see Note 17, </w:t>
      </w:r>
      <w:r>
        <w:rPr>
          <w:rFonts w:ascii="Times New Roman" w:cs="Times New Roman" w:eastAsia="Times New Roman" w:hAnsi="Times New Roman"/>
          <w:sz w:val="17"/>
          <w:szCs w:val="17"/>
          <w:i w:val="1"/>
          <w:iCs w:val="1"/>
          <w:color w:val="auto"/>
        </w:rPr>
        <w:t>Cyber Related Matters</w:t>
      </w:r>
      <w:r>
        <w:rPr>
          <w:rFonts w:ascii="Times New Roman" w:cs="Times New Roman" w:eastAsia="Times New Roman" w:hAnsi="Times New Roman"/>
          <w:sz w:val="17"/>
          <w:szCs w:val="17"/>
          <w:color w:val="auto"/>
        </w:rPr>
        <w:t>, in Part II, Item 8 of this Form 10-K for further details regarding indemnification claims related to the MOVEit Vulnerability.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Liquidity Outlook</w:t>
      </w:r>
    </w:p>
    <w:p>
      <w:pPr>
        <w:spacing w:after="0" w:line="23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Cash from operations in fiscal year 2026 could be affected by various risks and uncertainties, including, but not limited to, the effects of various risks detailed in Part I, Item 1A titled "Risk Factors", including increased disruption and volatility in capital markets and credit markets that could adversely affect our liquidity and capital resources in the future. However, based on our current business plan, we believe that existing cash balances, together with funds generated from operations and amounts available under the Credit Facility, will be sufficient to finance our operations and meet our foreseeable cash requirements through at least the next twelve months. Our foreseeable cash needs include capital expenditures, acquisitions, debt repayments, share repurchases, lease commitments, restructuring obligations, and other long-term obligations.</w:t>
      </w:r>
    </w:p>
    <w:p>
      <w:pPr>
        <w:spacing w:after="0" w:line="20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We expect to continue to make payments on the Credit Facility and are also continuously evaluating additional financing options, the net proceeds of which could be used for general corporate purposes or to repay outstanding indebtedness. In the future, we expect to use the available capacity under the Credit Facility for any payments made in connection with any settlement of the 2026 Notes upon conversion, redemption, or repayment of our 2026 Notes at or prior to the 2026 Notes maturity. We may also use the available capacity for general corporate purposes.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4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are based on our consolidated financial statements which have been prepared in accordance with GAAP. We make estimates and assumptions in the preparation of our consolidated financial statements that affect the reported amounts of assets and liabilities, revenue and expenses, and related disclosures of contingent assets and liabilities. We base our estimates on historical experience and various other assumptions that we believe are reasonable under the circumstances.</w:t>
      </w:r>
    </w:p>
    <w:p>
      <w:pPr>
        <w:spacing w:after="0" w:line="19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These estimates may change as new events occur and additional information is obtained. Actual results could differ materially from these estimates under different assumptions or conditions.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1" w:name="page32"/>
    <w:bookmarkEnd w:id="31"/>
    <w:p>
      <w:pPr>
        <w:ind w:right="300"/>
        <w:spacing w:after="0" w:line="291" w:lineRule="auto"/>
        <w:rPr>
          <w:sz w:val="20"/>
          <w:szCs w:val="20"/>
          <w:color w:val="auto"/>
        </w:rPr>
      </w:pPr>
      <w:r>
        <w:rPr>
          <w:rFonts w:ascii="Times New Roman" w:cs="Times New Roman" w:eastAsia="Times New Roman" w:hAnsi="Times New Roman"/>
          <w:sz w:val="17"/>
          <w:szCs w:val="17"/>
          <w:color w:val="auto"/>
        </w:rPr>
        <w:t>We have identified the following critical accounting policies and estimates that require the use of significant judgments and estimates in the preparation of our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Our contracts with customers typically include promises to license one or more products and services to a customer. Determining whether products and services are distinct performance obligations that should be accounted for separately requires significant judgment. Significant judgment is also required to determine the stand-alone selling price ("SSP") of each distinct performance obligation. Our licenses are sold as perpetual or term licenses, and the arrangements typically contain various combinations of maintenance, SaaS, and professional services, which are generally accounted for as separate performance obligations. For certain product offerings, we use the residual approach to allocate the transaction price to our software license performance obligations because, due to the pricing of our licenses being highly variable, they do not have an observable SSP.</w:t>
      </w:r>
    </w:p>
    <w:p>
      <w:pPr>
        <w:spacing w:after="0" w:line="199"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7"/>
          <w:szCs w:val="17"/>
          <w:color w:val="auto"/>
        </w:rPr>
        <w:t>Revenue related to maintenance and SaaS offerings is recognized ratably over the contract period. The SSP of maintenance services is a percentage of the net selling price of the related software license. The SSP of SaaS performance obligations is determined based upon observable prices in stand-alone SaaS transactions. Professional services revenue is generally recognized as the services are delivered to the customer. The SSP of professional services is based upon observable prices in similar transactions using the hourly rates sold in stand-alone services transactions. Professional services are either sold on a time and materials basis or prepaid upfront.</w:t>
      </w:r>
    </w:p>
    <w:p>
      <w:pPr>
        <w:spacing w:after="0" w:line="197"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color w:val="auto"/>
        </w:rPr>
        <w:t>We also consider whether an arrangement has any discounts, material rights, or specified future upgrades that may represent additional performance obligations, although we do not have a history of offering these elements. We do not have any material revenue arrangements that include estimates for variable consideration.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 and the MOVEit Vulnerability</w:t>
      </w:r>
    </w:p>
    <w:p>
      <w:pPr>
        <w:spacing w:after="0" w:line="235" w:lineRule="exact"/>
        <w:rPr>
          <w:sz w:val="20"/>
          <w:szCs w:val="20"/>
          <w:color w:val="auto"/>
        </w:rPr>
      </w:pPr>
    </w:p>
    <w:p>
      <w:pPr>
        <w:jc w:val="both"/>
        <w:ind w:right="500"/>
        <w:spacing w:after="0" w:line="256" w:lineRule="auto"/>
        <w:rPr>
          <w:sz w:val="20"/>
          <w:szCs w:val="20"/>
          <w:color w:val="auto"/>
        </w:rPr>
      </w:pPr>
      <w:r>
        <w:rPr>
          <w:rFonts w:ascii="Times New Roman" w:cs="Times New Roman" w:eastAsia="Times New Roman" w:hAnsi="Times New Roman"/>
          <w:sz w:val="17"/>
          <w:szCs w:val="17"/>
          <w:color w:val="auto"/>
        </w:rPr>
        <w:t>The Company recognizes a liability for loss contingencies for which it is probable that a liability has been incurred at the date of the consolidated financial statements and the amount is reasonably estimable. The Company has not incurred any significant litigation costs or entered into large settlements in recent history.</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 xml:space="preserve">As more fully discussed in Note 17, </w:t>
      </w:r>
      <w:r>
        <w:rPr>
          <w:rFonts w:ascii="Times New Roman" w:cs="Times New Roman" w:eastAsia="Times New Roman" w:hAnsi="Times New Roman"/>
          <w:sz w:val="17"/>
          <w:szCs w:val="17"/>
          <w:i w:val="1"/>
          <w:iCs w:val="1"/>
          <w:color w:val="auto"/>
        </w:rPr>
        <w:t>Cyber Related Matters</w:t>
      </w:r>
      <w:r>
        <w:rPr>
          <w:rFonts w:ascii="Times New Roman" w:cs="Times New Roman" w:eastAsia="Times New Roman" w:hAnsi="Times New Roman"/>
          <w:sz w:val="17"/>
          <w:szCs w:val="17"/>
          <w:color w:val="auto"/>
        </w:rPr>
        <w:t>, in Part II, Item 8 of this Form 10-K, in May 2023, the Company discovered the MOVEit Vulnerability, which resulted in government inquiries and investigations, as well as the MDL, which may result in adverse judgments, settlements, fines, penalties, or other resolutions, the amount, scope and timing of which could be material, but which the Company is currently unable to predict.</w:t>
      </w:r>
    </w:p>
    <w:p>
      <w:pPr>
        <w:spacing w:after="0" w:line="189"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7"/>
          <w:szCs w:val="17"/>
          <w:color w:val="auto"/>
        </w:rPr>
        <w:t>There is complexity in applying this accounting framework for the potential losses arising from the MOVEit Vulnerability and in determining whether a loss is probable and estimable as these claims and proceedings are subject to inherent uncertainties and potential damages for which we are unable to arrive at a reasonable estimate. Further, the outcome of these matters may not be known for prolonged periods of time. Since the MDL remains in a relatively early stage, alleged damages have not been specified, there is uncertainty as to the likelihood of a class or classes being certified or the ultimate size of any class if certified, and there are significant factual and legal issues to be resolved, we are currently unable to develop an estimate of the losses or range of losses incurred (if any). Therefore, we have not recorded a loss contingency liability for the MOVEit Vulnerability as of November 30, 2025. The Company could incur judgments or enter into settlements regarding the outcome of these claims and proceedings, which could have a material effect on the estimated amount of the liability in the period in which the effect becomes probable and reasonably estimable.</w:t>
      </w:r>
    </w:p>
    <w:p>
      <w:pPr>
        <w:spacing w:after="0" w:line="2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We have incurred expenses related to our efforts to investigate and remediate the MOVEit Vulnerability, as well as legal and other professional services related thereto. Expenses are recognized as they are incurred and are recognized net of expected insurance recoveries, although the timing of recognizing insurance recoveries may differ from the timing of recognizing the associated expenses. We incurred expenses of $2.8 million, $5.6 million, and $1.5 million, net, related to the MOVEit Vulnerability for the fiscal years ended November 30, 2025, 2024, and 2023, respectively.</w:t>
      </w:r>
    </w:p>
    <w:p>
      <w:pPr>
        <w:spacing w:after="0" w:line="19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During the period when the MOVEit Vulnerability occurred, we maintained $15.0 million of cybersecurity insurance coverage, which is expected to reduce our exposure to expenses and liabilities arising from these events. As of November 30, 2025, we have approximately $4.5 million of remaining cybersecurity insurance coverage under the applicable policy. We will pursue recoveries to the maximum extent available under our insurance policies.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We allocate the purchase price of acquired companies to the tangible and intangible assets acquired and liabilities assumed based on their estimated fair values. The estimates used to value the net assets acquired are based in part on historical experience and information obtained from the management of the acquired company. We generally value the identifiable intangible assets acquired using a discounted cash flow model. The significant estimates used in valuing certain of the intangible assets include, but are not limited to: future expected cash flows of the asset, discount rates to determine the present value of the future cash flows, attrition rates of customers, and expected technology life cycles. We also estimate the useful lives of the intangible assets based on the expected period over which we anticipate generating economic benefit from the asset.</w:t>
      </w:r>
    </w:p>
    <w:p>
      <w:pPr>
        <w:spacing w:after="0" w:line="199" w:lineRule="exact"/>
        <w:rPr>
          <w:sz w:val="20"/>
          <w:szCs w:val="20"/>
          <w:color w:val="auto"/>
        </w:rPr>
      </w:pPr>
    </w:p>
    <w:p>
      <w:pPr>
        <w:ind w:right="540"/>
        <w:spacing w:after="0" w:line="291" w:lineRule="auto"/>
        <w:rPr>
          <w:sz w:val="20"/>
          <w:szCs w:val="20"/>
          <w:color w:val="auto"/>
        </w:rPr>
      </w:pPr>
      <w:r>
        <w:rPr>
          <w:rFonts w:ascii="Times New Roman" w:cs="Times New Roman" w:eastAsia="Times New Roman" w:hAnsi="Times New Roman"/>
          <w:sz w:val="17"/>
          <w:szCs w:val="17"/>
          <w:color w:val="auto"/>
        </w:rPr>
        <w:t>Our estimates of fair value are based on assumptions believed to be reasonable at that time. If management made different estimates or judgments, material differences in the fair values of the net assets acquired may result.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Refer to Note 1, </w:t>
      </w:r>
      <w:r>
        <w:rPr>
          <w:rFonts w:ascii="Times New Roman" w:cs="Times New Roman" w:eastAsia="Times New Roman" w:hAnsi="Times New Roman"/>
          <w:sz w:val="17"/>
          <w:szCs w:val="17"/>
          <w:i w:val="1"/>
          <w:iCs w:val="1"/>
          <w:color w:val="auto"/>
        </w:rPr>
        <w:t>Nature of Business and Summary of Significant Accounting Policies</w:t>
      </w:r>
      <w:r>
        <w:rPr>
          <w:rFonts w:ascii="Times New Roman" w:cs="Times New Roman" w:eastAsia="Times New Roman" w:hAnsi="Times New Roman"/>
          <w:sz w:val="17"/>
          <w:szCs w:val="17"/>
          <w:color w:val="auto"/>
        </w:rPr>
        <w:t>, in Part II, Item 8 of this Form 10-K.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46"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7"/>
          <w:szCs w:val="17"/>
          <w:color w:val="auto"/>
        </w:rPr>
        <w:t>We are exposed to a variety of risks, including changes in interest rates affecting the return on our invested cash and borrowing activities and foreign currency fluctuations. We have established policies and procedures to manage our exposure to fluctuations in interest rates and foreign currency exchange rates.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4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Exposure to interest rate risk is related to changing interest rates under our Credit Agreement, which are variable and determined by reference to a Term Benchmark Rate or a base rate at our option. The rates range from 1.25% to 2.50% above the Term Benchmark Rate or from 0.25% to 1.50% above the defined base rate for base rate borrowings, in each case based upon our consolidated total net leverage ratio. Additionally, we may borrow certain foreign currencies at rates set in the same range above the respective Term Benchmark Rates for those currencies, based on our consolidated total net leverage ratio. A quarterly commitment fee on the undrawn portion of the revolving credit facility is required, ranging from 0.150% to 0.350% per annum, based upon our consolidated total net leverage ratio. As of November 30, 2025, there was $600.0 million outstanding under the revolving credit facility at a borrowing rate of 5.92%. A hypothetical 10% change in interest rates during any of the periods presented would not have had a material impact on our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2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generally use forward contracts that are not designated as hedging instruments to economically hedge the impact of the variability in exchange rates on intercompany accounts receivable and loans receivable denominated in certain foreign currencies. We generally do not hedge the net assets of our international subsidiaries. All forward contracts are recorded at fair value in other current assets, other assets, other accrued liabilities, or other noncurrent liabilities on the consolidated balance sheets at the end of each reporting period and expire between thirty days and three years from the date the contract was entered. In fiscal year 2025, we recognized realized and unrealized gains of $0.9 million from our forward contracts in foreign currency loss, net on the consolidated statements of operations. These losses were substantially offset by realized and unrealized gains and losses on the offsetting positions.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on a hypothetical 10% adverse movement in all foreign currency exchange rates, our revenue would be adversely affected by approximately 2%, or</w:t>
      </w:r>
    </w:p>
    <w:p>
      <w:pPr>
        <w:spacing w:after="0" w:line="3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$20.0 million, and our net income would be adversely affected by approximately 1%, or $0.9 million (excluding any offsetting positive impact from our ongoing hedging programs), although the actual effects may differ materially from the hypothetical analysis.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8"/>
        </w:trPr>
        <w:tc>
          <w:tcPr>
            <w:tcW w:w="1042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67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120" w:type="dxa"/>
            <w:vAlign w:val="bottom"/>
            <w:gridSpan w:val="7"/>
          </w:tcPr>
          <w:p>
            <w:pPr>
              <w:jc w:val="center"/>
              <w:ind w:right="2480"/>
              <w:spacing w:after="0"/>
              <w:rPr>
                <w:sz w:val="20"/>
                <w:szCs w:val="20"/>
                <w:color w:val="auto"/>
              </w:rPr>
            </w:pPr>
            <w:r>
              <w:rPr>
                <w:rFonts w:ascii="Times New Roman" w:cs="Times New Roman" w:eastAsia="Times New Roman" w:hAnsi="Times New Roman"/>
                <w:sz w:val="17"/>
                <w:szCs w:val="17"/>
                <w:b w:val="1"/>
                <w:bCs w:val="1"/>
                <w:color w:val="auto"/>
              </w:rPr>
              <w:t>PROGRESS SOFTWARE CORPORATION</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120" w:type="dxa"/>
            <w:vAlign w:val="bottom"/>
            <w:gridSpan w:val="7"/>
          </w:tcPr>
          <w:p>
            <w:pPr>
              <w:jc w:val="center"/>
              <w:ind w:right="248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Page</w:t>
            </w:r>
          </w:p>
        </w:tc>
      </w:tr>
      <w:tr>
        <w:trPr>
          <w:trHeight w:val="194"/>
        </w:trPr>
        <w:tc>
          <w:tcPr>
            <w:tcW w:w="20" w:type="dxa"/>
            <w:vAlign w:val="bottom"/>
          </w:tcPr>
          <w:p>
            <w:pPr>
              <w:spacing w:after="0"/>
              <w:rPr>
                <w:sz w:val="16"/>
                <w:szCs w:val="16"/>
                <w:color w:val="auto"/>
              </w:rPr>
            </w:pPr>
          </w:p>
        </w:tc>
        <w:tc>
          <w:tcPr>
            <w:tcW w:w="10400" w:type="dxa"/>
            <w:vAlign w:val="bottom"/>
            <w:gridSpan w:val="9"/>
          </w:tcPr>
          <w:p>
            <w:pPr>
              <w:spacing w:after="0" w:line="174" w:lineRule="exact"/>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(PCAOB ID No. 34)</w:t>
            </w:r>
          </w:p>
        </w:tc>
        <w:tc>
          <w:tcPr>
            <w:tcW w:w="820" w:type="dxa"/>
            <w:vAlign w:val="bottom"/>
            <w:gridSpan w:val="3"/>
          </w:tcPr>
          <w:p>
            <w:pPr>
              <w:jc w:val="center"/>
              <w:spacing w:after="0" w:line="174" w:lineRule="exact"/>
              <w:rPr>
                <w:sz w:val="20"/>
                <w:szCs w:val="20"/>
                <w:color w:val="auto"/>
              </w:rPr>
            </w:pPr>
            <w:r>
              <w:rPr>
                <w:rFonts w:ascii="Times New Roman" w:cs="Times New Roman" w:eastAsia="Times New Roman" w:hAnsi="Times New Roman"/>
                <w:sz w:val="17"/>
                <w:szCs w:val="17"/>
                <w:color w:val="0000FF"/>
              </w:rPr>
              <w:t>35</w:t>
            </w:r>
          </w:p>
        </w:tc>
      </w:tr>
      <w:tr>
        <w:trPr>
          <w:trHeight w:val="213"/>
        </w:trPr>
        <w:tc>
          <w:tcPr>
            <w:tcW w:w="20" w:type="dxa"/>
            <w:vAlign w:val="bottom"/>
          </w:tcPr>
          <w:p>
            <w:pPr>
              <w:spacing w:after="0"/>
              <w:rPr>
                <w:sz w:val="18"/>
                <w:szCs w:val="18"/>
                <w:color w:val="auto"/>
              </w:rPr>
            </w:pPr>
          </w:p>
        </w:tc>
        <w:tc>
          <w:tcPr>
            <w:tcW w:w="40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6360" w:type="dxa"/>
            <w:vAlign w:val="bottom"/>
            <w:gridSpan w:val="6"/>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80" w:type="dxa"/>
            <w:vAlign w:val="bottom"/>
            <w:tcBorders>
              <w:bottom w:val="single" w:sz="8" w:color="0000FF"/>
            </w:tcBorders>
            <w:gridSpan w:val="4"/>
          </w:tcPr>
          <w:p>
            <w:pPr>
              <w:spacing w:after="0" w:line="187" w:lineRule="exact"/>
              <w:rPr>
                <w:sz w:val="20"/>
                <w:szCs w:val="20"/>
                <w:color w:val="auto"/>
              </w:rPr>
            </w:pPr>
            <w:r>
              <w:rPr>
                <w:rFonts w:ascii="Times New Roman" w:cs="Times New Roman" w:eastAsia="Times New Roman" w:hAnsi="Times New Roman"/>
                <w:sz w:val="17"/>
                <w:szCs w:val="17"/>
                <w:color w:val="0000FF"/>
              </w:rPr>
              <w:t>Consolidated Balance Sheets as of November 30, 2025 and 2024</w:t>
            </w:r>
          </w:p>
        </w:tc>
        <w:tc>
          <w:tcPr>
            <w:tcW w:w="3560" w:type="dxa"/>
            <w:vAlign w:val="bottom"/>
            <w:gridSpan w:val="4"/>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0000FF"/>
            </w:tcBorders>
          </w:tcPr>
          <w:p>
            <w:pPr>
              <w:jc w:val="center"/>
              <w:spacing w:after="0" w:line="187" w:lineRule="exact"/>
              <w:rPr>
                <w:sz w:val="20"/>
                <w:szCs w:val="20"/>
                <w:color w:val="auto"/>
              </w:rPr>
            </w:pPr>
            <w:r>
              <w:rPr>
                <w:rFonts w:ascii="Times New Roman" w:cs="Times New Roman" w:eastAsia="Times New Roman" w:hAnsi="Times New Roman"/>
                <w:sz w:val="17"/>
                <w:szCs w:val="17"/>
                <w:color w:val="0000FF"/>
              </w:rPr>
              <w:t>37</w:t>
            </w:r>
          </w:p>
        </w:tc>
        <w:tc>
          <w:tcPr>
            <w:tcW w:w="32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November 30, 2025, 2024 and 2023</w:t>
            </w:r>
          </w:p>
        </w:tc>
        <w:tc>
          <w:tcPr>
            <w:tcW w:w="35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38</w:t>
            </w:r>
          </w:p>
        </w:tc>
        <w:tc>
          <w:tcPr>
            <w:tcW w:w="3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for the years ended November 30, 2025, 2024 and 2023</w:t>
            </w:r>
          </w:p>
        </w:tc>
        <w:tc>
          <w:tcPr>
            <w:tcW w:w="500" w:type="dxa"/>
            <w:vAlign w:val="bottom"/>
            <w:gridSpan w:val="2"/>
          </w:tcPr>
          <w:p>
            <w:pPr>
              <w:jc w:val="center"/>
              <w:ind w:left="234"/>
              <w:spacing w:after="0"/>
              <w:rPr>
                <w:sz w:val="20"/>
                <w:szCs w:val="20"/>
                <w:color w:val="auto"/>
              </w:rPr>
            </w:pPr>
            <w:r>
              <w:rPr>
                <w:rFonts w:ascii="Times New Roman" w:cs="Times New Roman" w:eastAsia="Times New Roman" w:hAnsi="Times New Roman"/>
                <w:sz w:val="17"/>
                <w:szCs w:val="17"/>
                <w:color w:val="0000FF"/>
              </w:rPr>
              <w:t>39</w:t>
            </w:r>
          </w:p>
        </w:tc>
        <w:tc>
          <w:tcPr>
            <w:tcW w:w="3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November 30, 2025, 2024 and 2023</w:t>
            </w:r>
          </w:p>
        </w:tc>
        <w:tc>
          <w:tcPr>
            <w:tcW w:w="2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40</w:t>
            </w:r>
          </w:p>
        </w:tc>
        <w:tc>
          <w:tcPr>
            <w:tcW w:w="3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November 30, 2025, 2024 and 2023</w:t>
            </w:r>
          </w:p>
        </w:tc>
        <w:tc>
          <w:tcPr>
            <w:tcW w:w="620" w:type="dxa"/>
            <w:vAlign w:val="bottom"/>
            <w:tcBorders>
              <w:top w:val="single" w:sz="8" w:color="0000FF"/>
            </w:tcBorders>
          </w:tcPr>
          <w:p>
            <w:pPr>
              <w:spacing w:after="0"/>
              <w:rPr>
                <w:sz w:val="17"/>
                <w:szCs w:val="17"/>
                <w:color w:val="auto"/>
              </w:rPr>
            </w:pPr>
          </w:p>
        </w:tc>
        <w:tc>
          <w:tcPr>
            <w:tcW w:w="28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41</w:t>
            </w:r>
          </w:p>
        </w:tc>
        <w:tc>
          <w:tcPr>
            <w:tcW w:w="3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712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43</w:t>
            </w:r>
          </w:p>
        </w:tc>
        <w:tc>
          <w:tcPr>
            <w:tcW w:w="3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Progress Software Corporation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audited the accompanying consolidated balance sheets of Progress Software Corporation and subsidiaries (the "Company") as of November 30, 2025 and</w:t>
      </w:r>
    </w:p>
    <w:p>
      <w:pPr>
        <w:spacing w:after="0" w:line="6"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7"/>
          <w:szCs w:val="17"/>
          <w:color w:val="auto"/>
        </w:rPr>
        <w:t>2024, the related consolidated statements of operations, comprehensive income, stockholders' equity, and cash flows, for each of the three years in the period ended November 30, 2025, and the related notes (collectively referred to as the "financial statements"). In our opinion, the financial statements present fairly, in all material respects, the financial position of the Company as of November 30, 2025 and 2024, and the results of its operations and its cash flows for each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years in the period ended November 30, 2025, in conformity with accounting principles generally accepted in the United States of America.</w:t>
      </w:r>
    </w:p>
    <w:p>
      <w:pPr>
        <w:spacing w:after="0" w:line="186"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November 30, 2025,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7"/>
          <w:szCs w:val="17"/>
          <w:color w:val="auto"/>
        </w:rPr>
        <w:t>Committee of Sponsoring Organizations of the Treadway Commission and our report dated January 20, 2026,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7"/>
          <w:szCs w:val="17"/>
          <w:color w:val="auto"/>
        </w:rPr>
        <w:t>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our audits provide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33"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w:t>
      </w:r>
    </w:p>
    <w:p>
      <w:pPr>
        <w:spacing w:after="0" w:line="1"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17"/>
          <w:szCs w:val="17"/>
          <w:color w:val="auto"/>
        </w:rPr>
        <w:t>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 - Refer to Note 12 to the 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 Description</w:t>
      </w:r>
    </w:p>
    <w:p>
      <w:pPr>
        <w:spacing w:after="0" w:line="233"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7"/>
          <w:szCs w:val="17"/>
          <w:color w:val="auto"/>
        </w:rPr>
        <w:t xml:space="preserve">The Company derives its revenue from software licenses, maintenance, software-as-a-service (SaaS), and professional services. Frequently, the customer arrangements provide software licenses combined with maintenance resulting in multiple performance obligations under ASC 606, </w:t>
      </w:r>
      <w:r>
        <w:rPr>
          <w:rFonts w:ascii="Times New Roman" w:cs="Times New Roman" w:eastAsia="Times New Roman" w:hAnsi="Times New Roman"/>
          <w:sz w:val="17"/>
          <w:szCs w:val="17"/>
          <w:i w:val="1"/>
          <w:iCs w:val="1"/>
          <w:color w:val="auto"/>
        </w:rPr>
        <w:t>Revenue from Contracts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Customers</w:t>
      </w:r>
      <w:r>
        <w:rPr>
          <w:rFonts w:ascii="Times New Roman" w:cs="Times New Roman" w:eastAsia="Times New Roman" w:hAnsi="Times New Roman"/>
          <w:sz w:val="17"/>
          <w:szCs w:val="17"/>
          <w:color w:val="auto"/>
        </w:rPr>
        <w:t>. The identification of distinct performance obligations, particularly for more complex customer arrangements, requires a detailed analysis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contractual terms and application of more complex accounting guidance. In addition, the allocation of the transaction price to each performance obligation within a contract (license, maintenance, SaaS and professional services) requires the application of management judgment. Revenue arrangements with higher contract values frequently require more complex management judgments.</w:t>
      </w:r>
    </w:p>
    <w:p>
      <w:pPr>
        <w:spacing w:after="0" w:line="20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Given the accounting complexity and the management judgment necessary to identify performance obligations and determine allocation of revenue in a contract with multiple performance obligations, auditing revenues required a high degree of auditor judgment and an increased extent of effort.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the Critical Audit Matter Was Addressed in the Audit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recognition of revenue from contracts with multiple performance obligations included the following, among others:</w:t>
      </w:r>
    </w:p>
    <w:p>
      <w:pPr>
        <w:spacing w:after="0" w:line="30" w:lineRule="exact"/>
        <w:rPr>
          <w:sz w:val="20"/>
          <w:szCs w:val="20"/>
          <w:color w:val="auto"/>
        </w:rPr>
      </w:pPr>
    </w:p>
    <w:p>
      <w:pPr>
        <w:ind w:left="620" w:right="480" w:hanging="306"/>
        <w:spacing w:after="0" w:line="246"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revenue recognition, including those over the identification of distinct performance obligations and the allocation of the transaction price.</w:t>
      </w:r>
    </w:p>
    <w:p>
      <w:pPr>
        <w:ind w:left="620" w:hanging="306"/>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Company's accounting policies in the context of the applicable accounting standards.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5" w:name="page36"/>
    <w:bookmarkEnd w:id="35"/>
    <w:p>
      <w:pPr>
        <w:ind w:left="620" w:hanging="306"/>
        <w:spacing w:after="0" w:line="258"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appropriateness and consistency of the methods and assumptions used by management to determine the standalone selling price of distinct performance obligations.</w:t>
      </w:r>
    </w:p>
    <w:p>
      <w:pPr>
        <w:ind w:left="620" w:hanging="306"/>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selected a sample of revenue contracts and performed the following procedures:</w:t>
      </w:r>
    </w:p>
    <w:p>
      <w:pPr>
        <w:spacing w:after="0" w:line="10"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We obtained and read the contracts and related contract documentation.</w:t>
      </w:r>
    </w:p>
    <w:p>
      <w:pPr>
        <w:spacing w:after="0" w:line="11" w:lineRule="exact"/>
        <w:rPr>
          <w:rFonts w:ascii="Times New Roman" w:cs="Times New Roman" w:eastAsia="Times New Roman" w:hAnsi="Times New Roman"/>
          <w:sz w:val="17"/>
          <w:szCs w:val="17"/>
          <w:color w:val="auto"/>
        </w:rPr>
      </w:pPr>
    </w:p>
    <w:p>
      <w:pPr>
        <w:ind w:left="1240" w:right="100" w:hanging="311"/>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We evaluated whether management properly identified the contract terms and tested management's application of the Company's policies, including the identification of the performance obligations and allocation of the transaction price.</w:t>
      </w: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We tested the mathematical accuracy of management's calculations of revenue recognized in the financial statements.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20, 2026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1990.</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40"/>
          </w:cols>
          <w:pgMar w:left="320" w:top="742" w:right="7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PROGRESS SOFTWARE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220" w:type="dxa"/>
            <w:vAlign w:val="bottom"/>
          </w:tcPr>
          <w:p>
            <w:pPr>
              <w:spacing w:after="0"/>
              <w:rPr>
                <w:sz w:val="17"/>
                <w:szCs w:val="17"/>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November 30, 2025</w:t>
            </w:r>
          </w:p>
        </w:tc>
        <w:tc>
          <w:tcPr>
            <w:tcW w:w="220" w:type="dxa"/>
            <w:vAlign w:val="bottom"/>
          </w:tcPr>
          <w:p>
            <w:pPr>
              <w:spacing w:after="0"/>
              <w:rPr>
                <w:sz w:val="17"/>
                <w:szCs w:val="17"/>
                <w:color w:val="auto"/>
              </w:rPr>
            </w:pPr>
          </w:p>
        </w:tc>
        <w:tc>
          <w:tcPr>
            <w:tcW w:w="166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November 30, 2024</w:t>
            </w:r>
          </w:p>
        </w:tc>
        <w:tc>
          <w:tcPr>
            <w:tcW w:w="0" w:type="dxa"/>
            <w:vAlign w:val="bottom"/>
          </w:tcPr>
          <w:p>
            <w:pPr>
              <w:spacing w:after="0"/>
              <w:rPr>
                <w:sz w:val="1"/>
                <w:szCs w:val="1"/>
                <w:color w:val="auto"/>
              </w:rPr>
            </w:pPr>
          </w:p>
        </w:tc>
      </w:tr>
      <w:tr>
        <w:trPr>
          <w:trHeight w:val="190"/>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118,077</w:t>
            </w:r>
          </w:p>
        </w:tc>
        <w:tc>
          <w:tcPr>
            <w:tcW w:w="0" w:type="dxa"/>
            <w:vAlign w:val="bottom"/>
          </w:tcPr>
          <w:p>
            <w:pPr>
              <w:spacing w:after="0"/>
              <w:rPr>
                <w:sz w:val="1"/>
                <w:szCs w:val="1"/>
                <w:color w:val="auto"/>
              </w:rPr>
            </w:pPr>
          </w:p>
        </w:tc>
      </w:tr>
      <w:tr>
        <w:trPr>
          <w:trHeight w:val="205"/>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163,575</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Unbilled receivables, current portion</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34,672</w:t>
            </w:r>
          </w:p>
        </w:tc>
        <w:tc>
          <w:tcPr>
            <w:tcW w:w="0" w:type="dxa"/>
            <w:vAlign w:val="bottom"/>
          </w:tcPr>
          <w:p>
            <w:pPr>
              <w:spacing w:after="0"/>
              <w:rPr>
                <w:sz w:val="1"/>
                <w:szCs w:val="1"/>
                <w:color w:val="auto"/>
              </w:rPr>
            </w:pPr>
          </w:p>
        </w:tc>
      </w:tr>
      <w:tr>
        <w:trPr>
          <w:trHeight w:val="205"/>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62,776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52,489</w:t>
            </w:r>
          </w:p>
        </w:tc>
        <w:tc>
          <w:tcPr>
            <w:tcW w:w="0" w:type="dxa"/>
            <w:vAlign w:val="bottom"/>
          </w:tcPr>
          <w:p>
            <w:pPr>
              <w:spacing w:after="0"/>
              <w:rPr>
                <w:sz w:val="1"/>
                <w:szCs w:val="1"/>
                <w:color w:val="auto"/>
              </w:rPr>
            </w:pPr>
          </w:p>
        </w:tc>
      </w:tr>
      <w:tr>
        <w:trPr>
          <w:trHeight w:val="202"/>
        </w:trPr>
        <w:tc>
          <w:tcPr>
            <w:tcW w:w="7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399,965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368,813</w:t>
            </w:r>
          </w:p>
        </w:tc>
        <w:tc>
          <w:tcPr>
            <w:tcW w:w="0" w:type="dxa"/>
            <w:vAlign w:val="bottom"/>
          </w:tcPr>
          <w:p>
            <w:pPr>
              <w:spacing w:after="0"/>
              <w:rPr>
                <w:sz w:val="1"/>
                <w:szCs w:val="1"/>
                <w:color w:val="auto"/>
              </w:rPr>
            </w:pPr>
          </w:p>
        </w:tc>
      </w:tr>
      <w:tr>
        <w:trPr>
          <w:trHeight w:val="198"/>
        </w:trPr>
        <w:tc>
          <w:tcPr>
            <w:tcW w:w="73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Unbilled receivables, non-current portion</w:t>
            </w: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28,893</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13,746</w:t>
            </w:r>
          </w:p>
        </w:tc>
        <w:tc>
          <w:tcPr>
            <w:tcW w:w="0" w:type="dxa"/>
            <w:vAlign w:val="bottom"/>
          </w:tcPr>
          <w:p>
            <w:pPr>
              <w:spacing w:after="0"/>
              <w:rPr>
                <w:sz w:val="1"/>
                <w:szCs w:val="1"/>
                <w:color w:val="auto"/>
              </w:rPr>
            </w:pPr>
          </w:p>
        </w:tc>
      </w:tr>
      <w:tr>
        <w:trPr>
          <w:trHeight w:val="20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723,571</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1,309,054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1,292,177</w:t>
            </w:r>
          </w:p>
        </w:tc>
        <w:tc>
          <w:tcPr>
            <w:tcW w:w="0" w:type="dxa"/>
            <w:vAlign w:val="bottom"/>
          </w:tcPr>
          <w:p>
            <w:pPr>
              <w:spacing w:after="0"/>
              <w:rPr>
                <w:sz w:val="1"/>
                <w:szCs w:val="1"/>
                <w:color w:val="auto"/>
              </w:rPr>
            </w:pPr>
          </w:p>
        </w:tc>
      </w:tr>
      <w:tr>
        <w:trPr>
          <w:trHeight w:val="20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lease assets</w:t>
            </w: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30,894</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56,179</w:t>
            </w:r>
          </w:p>
        </w:tc>
        <w:tc>
          <w:tcPr>
            <w:tcW w:w="0" w:type="dxa"/>
            <w:vAlign w:val="bottom"/>
          </w:tcPr>
          <w:p>
            <w:pPr>
              <w:spacing w:after="0"/>
              <w:rPr>
                <w:sz w:val="1"/>
                <w:szCs w:val="1"/>
                <w:color w:val="auto"/>
              </w:rPr>
            </w:pPr>
          </w:p>
        </w:tc>
      </w:tr>
      <w:tr>
        <w:trPr>
          <w:trHeight w:val="20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12,693</w:t>
            </w:r>
          </w:p>
        </w:tc>
        <w:tc>
          <w:tcPr>
            <w:tcW w:w="0" w:type="dxa"/>
            <w:vAlign w:val="bottom"/>
          </w:tcPr>
          <w:p>
            <w:pPr>
              <w:spacing w:after="0"/>
              <w:rPr>
                <w:sz w:val="1"/>
                <w:szCs w:val="1"/>
                <w:color w:val="auto"/>
              </w:rPr>
            </w:pPr>
          </w:p>
        </w:tc>
      </w:tr>
      <w:tr>
        <w:trPr>
          <w:trHeight w:val="225"/>
        </w:trPr>
        <w:tc>
          <w:tcPr>
            <w:tcW w:w="73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2,457,658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2,526,966</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3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15,934</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13,910</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 and related payroll taxes</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64,672</w:t>
            </w:r>
          </w:p>
        </w:tc>
        <w:tc>
          <w:tcPr>
            <w:tcW w:w="0" w:type="dxa"/>
            <w:vAlign w:val="bottom"/>
          </w:tcPr>
          <w:p>
            <w:pPr>
              <w:spacing w:after="0"/>
              <w:rPr>
                <w:sz w:val="1"/>
                <w:szCs w:val="1"/>
                <w:color w:val="auto"/>
              </w:rPr>
            </w:pPr>
          </w:p>
        </w:tc>
      </w:tr>
      <w:tr>
        <w:trPr>
          <w:trHeight w:val="220"/>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Convertible senior notes, current portion, net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9,202</w:t>
            </w:r>
          </w:p>
        </w:tc>
        <w:tc>
          <w:tcPr>
            <w:tcW w:w="0" w:type="dxa"/>
            <w:vAlign w:val="bottom"/>
          </w:tcPr>
          <w:p>
            <w:pPr>
              <w:spacing w:after="0"/>
              <w:rPr>
                <w:sz w:val="1"/>
                <w:szCs w:val="1"/>
                <w:color w:val="auto"/>
              </w:rPr>
            </w:pPr>
          </w:p>
        </w:tc>
      </w:tr>
      <w:tr>
        <w:trPr>
          <w:trHeight w:val="205"/>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accrued current liabilities</w:t>
            </w: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35,219</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332,142</w:t>
            </w:r>
          </w:p>
        </w:tc>
        <w:tc>
          <w:tcPr>
            <w:tcW w:w="0" w:type="dxa"/>
            <w:vAlign w:val="bottom"/>
          </w:tcPr>
          <w:p>
            <w:pPr>
              <w:spacing w:after="0"/>
              <w:rPr>
                <w:sz w:val="1"/>
                <w:szCs w:val="1"/>
                <w:color w:val="auto"/>
              </w:rPr>
            </w:pPr>
          </w:p>
        </w:tc>
      </w:tr>
      <w:tr>
        <w:trPr>
          <w:trHeight w:val="198"/>
        </w:trPr>
        <w:tc>
          <w:tcPr>
            <w:tcW w:w="7380" w:type="dxa"/>
            <w:vAlign w:val="bottom"/>
            <w:tcBorders>
              <w:bottom w:val="single" w:sz="8" w:color="CCEEFF"/>
            </w:tcBorders>
          </w:tcPr>
          <w:p>
            <w:pPr>
              <w:ind w:left="640"/>
              <w:spacing w:after="0" w:line="182" w:lineRule="exact"/>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809,734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455,145</w:t>
            </w:r>
          </w:p>
        </w:tc>
        <w:tc>
          <w:tcPr>
            <w:tcW w:w="0" w:type="dxa"/>
            <w:vAlign w:val="bottom"/>
          </w:tcPr>
          <w:p>
            <w:pPr>
              <w:spacing w:after="0"/>
              <w:rPr>
                <w:sz w:val="1"/>
                <w:szCs w:val="1"/>
                <w:color w:val="auto"/>
              </w:rPr>
            </w:pPr>
          </w:p>
        </w:tc>
      </w:tr>
      <w:tr>
        <w:trPr>
          <w:trHeight w:val="20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730,000</w:t>
            </w:r>
          </w:p>
        </w:tc>
        <w:tc>
          <w:tcPr>
            <w:tcW w:w="0" w:type="dxa"/>
            <w:vAlign w:val="bottom"/>
          </w:tcPr>
          <w:p>
            <w:pPr>
              <w:spacing w:after="0"/>
              <w:rPr>
                <w:sz w:val="1"/>
                <w:szCs w:val="1"/>
                <w:color w:val="auto"/>
              </w:rPr>
            </w:pPr>
          </w:p>
        </w:tc>
      </w:tr>
      <w:tr>
        <w:trPr>
          <w:trHeight w:val="20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senior notes, non-current portion, net</w:t>
            </w: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441,186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796,267</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 portion</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26,259</w:t>
            </w:r>
          </w:p>
        </w:tc>
        <w:tc>
          <w:tcPr>
            <w:tcW w:w="0" w:type="dxa"/>
            <w:vAlign w:val="bottom"/>
          </w:tcPr>
          <w:p>
            <w:pPr>
              <w:spacing w:after="0"/>
              <w:rPr>
                <w:sz w:val="1"/>
                <w:szCs w:val="1"/>
                <w:color w:val="auto"/>
              </w:rPr>
            </w:pPr>
          </w:p>
        </w:tc>
      </w:tr>
      <w:tr>
        <w:trPr>
          <w:trHeight w:val="20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non-current portion</w:t>
            </w: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72,270</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0" w:type="dxa"/>
            <w:vAlign w:val="bottom"/>
          </w:tcPr>
          <w:p>
            <w:pPr>
              <w:spacing w:after="0"/>
              <w:rPr>
                <w:sz w:val="1"/>
                <w:szCs w:val="1"/>
                <w:color w:val="auto"/>
              </w:rPr>
            </w:pPr>
          </w:p>
        </w:tc>
      </w:tr>
      <w:tr>
        <w:trPr>
          <w:trHeight w:val="20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5,958</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Preferred stock, $0.01 par value; authorized, 10,000,000 shares; issued, none</w:t>
            </w:r>
          </w:p>
        </w:tc>
        <w:tc>
          <w:tcPr>
            <w:tcW w:w="220" w:type="dxa"/>
            <w:vAlign w:val="bottom"/>
          </w:tcPr>
          <w:p>
            <w:pPr>
              <w:spacing w:after="0"/>
              <w:rPr>
                <w:sz w:val="17"/>
                <w:szCs w:val="17"/>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7380" w:type="dxa"/>
            <w:vAlign w:val="bottom"/>
            <w:shd w:val="clear" w:color="auto" w:fill="CCEEFF"/>
          </w:tcPr>
          <w:p>
            <w:pPr>
              <w:ind w:left="340"/>
              <w:spacing w:after="0" w:line="158" w:lineRule="exact"/>
              <w:rPr>
                <w:sz w:val="20"/>
                <w:szCs w:val="20"/>
                <w:color w:val="auto"/>
              </w:rPr>
            </w:pPr>
            <w:r>
              <w:rPr>
                <w:rFonts w:ascii="Times New Roman" w:cs="Times New Roman" w:eastAsia="Times New Roman" w:hAnsi="Times New Roman"/>
                <w:sz w:val="16"/>
                <w:szCs w:val="16"/>
                <w:color w:val="auto"/>
                <w:w w:val="99"/>
              </w:rPr>
              <w:t>Common stock, $0.01 par value; authorized, 200,000,000 shares; issued and outstanding, 42,335,700 shares in</w:t>
            </w:r>
          </w:p>
        </w:tc>
        <w:tc>
          <w:tcPr>
            <w:tcW w:w="22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07"/>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2025 and 43,360,695 shares in 2024</w:t>
            </w:r>
          </w:p>
        </w:tc>
        <w:tc>
          <w:tcPr>
            <w:tcW w:w="22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354,158</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120,405</w:t>
            </w:r>
          </w:p>
        </w:tc>
        <w:tc>
          <w:tcPr>
            <w:tcW w:w="0" w:type="dxa"/>
            <w:vAlign w:val="bottom"/>
          </w:tcPr>
          <w:p>
            <w:pPr>
              <w:spacing w:after="0"/>
              <w:rPr>
                <w:sz w:val="1"/>
                <w:szCs w:val="1"/>
                <w:color w:val="auto"/>
              </w:rPr>
            </w:pPr>
          </w:p>
        </w:tc>
      </w:tr>
      <w:tr>
        <w:trPr>
          <w:trHeight w:val="205"/>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(33,143)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(36,209)</w:t>
            </w:r>
          </w:p>
        </w:tc>
        <w:tc>
          <w:tcPr>
            <w:tcW w:w="0" w:type="dxa"/>
            <w:vAlign w:val="bottom"/>
          </w:tcPr>
          <w:p>
            <w:pPr>
              <w:spacing w:after="0"/>
              <w:rPr>
                <w:sz w:val="1"/>
                <w:szCs w:val="1"/>
                <w:color w:val="auto"/>
              </w:rPr>
            </w:pPr>
          </w:p>
        </w:tc>
      </w:tr>
      <w:tr>
        <w:trPr>
          <w:trHeight w:val="202"/>
        </w:trPr>
        <w:tc>
          <w:tcPr>
            <w:tcW w:w="7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478,349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438,788</w:t>
            </w:r>
          </w:p>
        </w:tc>
        <w:tc>
          <w:tcPr>
            <w:tcW w:w="0" w:type="dxa"/>
            <w:vAlign w:val="bottom"/>
          </w:tcPr>
          <w:p>
            <w:pPr>
              <w:spacing w:after="0"/>
              <w:rPr>
                <w:sz w:val="1"/>
                <w:szCs w:val="1"/>
                <w:color w:val="auto"/>
              </w:rPr>
            </w:pPr>
          </w:p>
        </w:tc>
      </w:tr>
      <w:tr>
        <w:trPr>
          <w:trHeight w:val="198"/>
        </w:trPr>
        <w:tc>
          <w:tcPr>
            <w:tcW w:w="7380" w:type="dxa"/>
            <w:vAlign w:val="bottom"/>
          </w:tcPr>
          <w:p>
            <w:pPr>
              <w:ind w:left="640"/>
              <w:spacing w:after="0" w:line="182"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2,457,658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2,526,966</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PROGRESS SOFTWARE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Fiscal Year Ended</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00"/>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4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30, 2025</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November 30, 2024</w:t>
            </w:r>
          </w:p>
        </w:tc>
        <w:tc>
          <w:tcPr>
            <w:tcW w:w="120" w:type="dxa"/>
            <w:vAlign w:val="bottom"/>
          </w:tcPr>
          <w:p>
            <w:pPr>
              <w:spacing w:after="0"/>
              <w:rPr>
                <w:sz w:val="17"/>
                <w:szCs w:val="17"/>
                <w:color w:val="auto"/>
              </w:rPr>
            </w:pPr>
          </w:p>
        </w:tc>
        <w:tc>
          <w:tcPr>
            <w:tcW w:w="14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8"/>
              </w:rPr>
              <w:t>November 30, 2023</w:t>
            </w:r>
          </w:p>
        </w:tc>
      </w:tr>
      <w:tr>
        <w:trPr>
          <w:trHeight w:val="189"/>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r>
      <w:tr>
        <w:trPr>
          <w:trHeight w:val="205"/>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Software licenses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237,887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249,331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220,789</w:t>
            </w:r>
          </w:p>
        </w:tc>
      </w:tr>
      <w:tr>
        <w:trPr>
          <w:trHeight w:val="209"/>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 SaaS, and professional services</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739,944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504,078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473,650</w:t>
            </w:r>
          </w:p>
        </w:tc>
      </w:tr>
      <w:tr>
        <w:trPr>
          <w:trHeight w:val="198"/>
        </w:trPr>
        <w:tc>
          <w:tcPr>
            <w:tcW w:w="6340" w:type="dxa"/>
            <w:vAlign w:val="bottom"/>
            <w:tcBorders>
              <w:bottom w:val="single" w:sz="8" w:color="CCEEFF"/>
            </w:tcBorders>
          </w:tcPr>
          <w:p>
            <w:pPr>
              <w:ind w:left="1060"/>
              <w:spacing w:after="0" w:line="182" w:lineRule="exact"/>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977,831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753,409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694,439</w:t>
            </w:r>
          </w:p>
        </w:tc>
      </w:tr>
      <w:tr>
        <w:trPr>
          <w:trHeight w:val="18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of revenue:</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05"/>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software licenses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11,153</w:t>
            </w:r>
          </w:p>
        </w:tc>
      </w:tr>
      <w:tr>
        <w:trPr>
          <w:trHeight w:val="209"/>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maintenance, SaaS, and professional services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85,255</w:t>
            </w:r>
          </w:p>
        </w:tc>
      </w:tr>
      <w:tr>
        <w:trPr>
          <w:trHeight w:val="205"/>
        </w:trPr>
        <w:tc>
          <w:tcPr>
            <w:tcW w:w="6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41,226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30,169</w:t>
            </w:r>
          </w:p>
        </w:tc>
      </w:tr>
      <w:tr>
        <w:trPr>
          <w:trHeight w:val="202"/>
        </w:trPr>
        <w:tc>
          <w:tcPr>
            <w:tcW w:w="6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costs of revenue</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187,581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130,482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126,577</w:t>
            </w:r>
          </w:p>
        </w:tc>
      </w:tr>
      <w:tr>
        <w:trPr>
          <w:trHeight w:val="198"/>
        </w:trPr>
        <w:tc>
          <w:tcPr>
            <w:tcW w:w="6340" w:type="dxa"/>
            <w:vAlign w:val="bottom"/>
            <w:tcBorders>
              <w:bottom w:val="single" w:sz="8" w:color="CCEEFF"/>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790,250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622,927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567,862</w:t>
            </w:r>
          </w:p>
        </w:tc>
      </w:tr>
      <w:tr>
        <w:trPr>
          <w:trHeight w:val="18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05"/>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156,076</w:t>
            </w:r>
          </w:p>
        </w:tc>
      </w:tr>
      <w:tr>
        <w:trPr>
          <w:trHeight w:val="209"/>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132,401</w:t>
            </w:r>
          </w:p>
        </w:tc>
      </w:tr>
      <w:tr>
        <w:trPr>
          <w:trHeight w:val="205"/>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83,157</w:t>
            </w:r>
          </w:p>
        </w:tc>
      </w:tr>
      <w:tr>
        <w:trPr>
          <w:trHeight w:val="209"/>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66,430</w:t>
            </w:r>
          </w:p>
        </w:tc>
      </w:tr>
      <w:tr>
        <w:trPr>
          <w:trHeight w:val="205"/>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 expenses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8,407</w:t>
            </w:r>
          </w:p>
        </w:tc>
      </w:tr>
      <w:tr>
        <w:trPr>
          <w:trHeight w:val="209"/>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w:t>
            </w:r>
          </w:p>
        </w:tc>
      </w:tr>
      <w:tr>
        <w:trPr>
          <w:trHeight w:val="205"/>
        </w:trPr>
        <w:tc>
          <w:tcPr>
            <w:tcW w:w="6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Cyber incident and vulnerability response expenses, net</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6,164</w:t>
            </w:r>
          </w:p>
        </w:tc>
      </w:tr>
      <w:tr>
        <w:trPr>
          <w:trHeight w:val="202"/>
        </w:trPr>
        <w:tc>
          <w:tcPr>
            <w:tcW w:w="6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636,960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498,924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457,339</w:t>
            </w:r>
          </w:p>
        </w:tc>
      </w:tr>
      <w:tr>
        <w:trPr>
          <w:trHeight w:val="198"/>
        </w:trPr>
        <w:tc>
          <w:tcPr>
            <w:tcW w:w="6340" w:type="dxa"/>
            <w:vAlign w:val="bottom"/>
            <w:tcBorders>
              <w:bottom w:val="single" w:sz="8" w:color="CCEEFF"/>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Income from operations</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153,290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124,003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110,523</w:t>
            </w:r>
          </w:p>
        </w:tc>
      </w:tr>
      <w:tr>
        <w:trPr>
          <w:trHeight w:val="18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05"/>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(30,780)</w:t>
            </w:r>
          </w:p>
        </w:tc>
      </w:tr>
      <w:tr>
        <w:trPr>
          <w:trHeight w:val="209"/>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 and other, net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w:t>
            </w:r>
          </w:p>
        </w:tc>
      </w:tr>
      <w:tr>
        <w:trPr>
          <w:trHeight w:val="205"/>
        </w:trPr>
        <w:tc>
          <w:tcPr>
            <w:tcW w:w="6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Foreign currency loss, net</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(2,624)</w:t>
            </w:r>
          </w:p>
        </w:tc>
      </w:tr>
      <w:tr>
        <w:trPr>
          <w:trHeight w:val="202"/>
        </w:trPr>
        <w:tc>
          <w:tcPr>
            <w:tcW w:w="6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other expense, net</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(30,866)</w:t>
            </w:r>
          </w:p>
        </w:tc>
      </w:tr>
      <w:tr>
        <w:trPr>
          <w:trHeight w:val="198"/>
        </w:trPr>
        <w:tc>
          <w:tcPr>
            <w:tcW w:w="6340" w:type="dxa"/>
            <w:vAlign w:val="bottom"/>
            <w:tcBorders>
              <w:bottom w:val="single" w:sz="8" w:color="CCEEFF"/>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81,628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94,264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79,657</w:t>
            </w:r>
          </w:p>
        </w:tc>
      </w:tr>
      <w:tr>
        <w:trPr>
          <w:trHeight w:val="20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9,460</w:t>
            </w:r>
          </w:p>
        </w:tc>
      </w:tr>
      <w:tr>
        <w:trPr>
          <w:trHeight w:val="198"/>
        </w:trPr>
        <w:tc>
          <w:tcPr>
            <w:tcW w:w="63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73,133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68,438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70,197</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4"/>
        </w:trPr>
        <w:tc>
          <w:tcPr>
            <w:tcW w:w="6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5"/>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5"/>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5"/>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43,456</w:t>
            </w:r>
          </w:p>
        </w:tc>
      </w:tr>
      <w:tr>
        <w:trPr>
          <w:trHeight w:val="20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44,658</w:t>
            </w:r>
          </w:p>
        </w:tc>
      </w:tr>
      <w:tr>
        <w:trPr>
          <w:trHeight w:val="246"/>
        </w:trPr>
        <w:tc>
          <w:tcPr>
            <w:tcW w:w="6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r>
      <w:tr>
        <w:trPr>
          <w:trHeight w:val="499"/>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PROGRESS SOFTWARE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Fiscal Year Ended</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November 30, 2025</w:t>
            </w:r>
          </w:p>
        </w:tc>
        <w:tc>
          <w:tcPr>
            <w:tcW w:w="12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November 30, 2024</w:t>
            </w:r>
          </w:p>
        </w:tc>
        <w:tc>
          <w:tcPr>
            <w:tcW w:w="140" w:type="dxa"/>
            <w:vAlign w:val="bottom"/>
          </w:tcPr>
          <w:p>
            <w:pPr>
              <w:spacing w:after="0"/>
              <w:rPr>
                <w:sz w:val="17"/>
                <w:szCs w:val="17"/>
                <w:color w:val="auto"/>
              </w:rPr>
            </w:pPr>
          </w:p>
        </w:tc>
        <w:tc>
          <w:tcPr>
            <w:tcW w:w="14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7"/>
              </w:rPr>
              <w:t>November 30, 2023</w:t>
            </w:r>
          </w:p>
        </w:tc>
        <w:tc>
          <w:tcPr>
            <w:tcW w:w="0" w:type="dxa"/>
            <w:vAlign w:val="bottom"/>
          </w:tcPr>
          <w:p>
            <w:pPr>
              <w:spacing w:after="0"/>
              <w:rPr>
                <w:sz w:val="1"/>
                <w:szCs w:val="1"/>
                <w:color w:val="auto"/>
              </w:rPr>
            </w:pPr>
          </w:p>
        </w:tc>
      </w:tr>
      <w:tr>
        <w:trPr>
          <w:trHeight w:val="202"/>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73,133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68,438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70,197</w:t>
            </w:r>
          </w:p>
        </w:tc>
        <w:tc>
          <w:tcPr>
            <w:tcW w:w="0" w:type="dxa"/>
            <w:vAlign w:val="bottom"/>
          </w:tcPr>
          <w:p>
            <w:pPr>
              <w:spacing w:after="0"/>
              <w:rPr>
                <w:sz w:val="1"/>
                <w:szCs w:val="1"/>
                <w:color w:val="auto"/>
              </w:rPr>
            </w:pPr>
          </w:p>
        </w:tc>
      </w:tr>
      <w:tr>
        <w:trPr>
          <w:trHeight w:val="205"/>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98"/>
              </w:rPr>
              <w:t>(2,914)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5,289</w:t>
            </w:r>
          </w:p>
        </w:tc>
        <w:tc>
          <w:tcPr>
            <w:tcW w:w="0" w:type="dxa"/>
            <w:vAlign w:val="bottom"/>
          </w:tcPr>
          <w:p>
            <w:pPr>
              <w:spacing w:after="0"/>
              <w:rPr>
                <w:sz w:val="1"/>
                <w:szCs w:val="1"/>
                <w:color w:val="auto"/>
              </w:rPr>
            </w:pPr>
          </w:p>
        </w:tc>
      </w:tr>
      <w:tr>
        <w:trPr>
          <w:trHeight w:val="155"/>
        </w:trPr>
        <w:tc>
          <w:tcPr>
            <w:tcW w:w="6300" w:type="dxa"/>
            <w:vAlign w:val="bottom"/>
          </w:tcPr>
          <w:p>
            <w:pPr>
              <w:ind w:left="440"/>
              <w:spacing w:after="0" w:line="155" w:lineRule="exact"/>
              <w:rPr>
                <w:sz w:val="20"/>
                <w:szCs w:val="20"/>
                <w:color w:val="auto"/>
              </w:rPr>
            </w:pPr>
            <w:r>
              <w:rPr>
                <w:rFonts w:ascii="Times New Roman" w:cs="Times New Roman" w:eastAsia="Times New Roman" w:hAnsi="Times New Roman"/>
                <w:sz w:val="16"/>
                <w:szCs w:val="16"/>
                <w:color w:val="auto"/>
              </w:rPr>
              <w:t>Unrealized loss on hedging activity, net of tax benefit of $360 and $698 in 2024 and 2023,</w:t>
            </w:r>
          </w:p>
        </w:tc>
        <w:tc>
          <w:tcPr>
            <w:tcW w:w="140" w:type="dxa"/>
            <w:vAlign w:val="bottom"/>
          </w:tcPr>
          <w:p>
            <w:pPr>
              <w:spacing w:after="0"/>
              <w:rPr>
                <w:sz w:val="13"/>
                <w:szCs w:val="13"/>
                <w:color w:val="auto"/>
              </w:rPr>
            </w:pPr>
          </w:p>
        </w:tc>
        <w:tc>
          <w:tcPr>
            <w:tcW w:w="1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440" w:type="dxa"/>
            <w:vAlign w:val="bottom"/>
            <w:vMerge w:val="restart"/>
          </w:tcPr>
          <w:p>
            <w:pPr>
              <w:ind w:left="960"/>
              <w:spacing w:after="0"/>
              <w:rPr>
                <w:sz w:val="20"/>
                <w:szCs w:val="20"/>
                <w:color w:val="auto"/>
              </w:rPr>
            </w:pPr>
            <w:r>
              <w:rPr>
                <w:rFonts w:ascii="Times New Roman" w:cs="Times New Roman" w:eastAsia="Times New Roman" w:hAnsi="Times New Roman"/>
                <w:sz w:val="16"/>
                <w:szCs w:val="16"/>
                <w:color w:val="auto"/>
                <w:w w:val="98"/>
              </w:rPr>
              <w:t>(1,135)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0" w:type="dxa"/>
            <w:vAlign w:val="bottom"/>
          </w:tcPr>
          <w:p>
            <w:pPr>
              <w:spacing w:after="0"/>
              <w:rPr>
                <w:sz w:val="1"/>
                <w:szCs w:val="1"/>
                <w:color w:val="auto"/>
              </w:rPr>
            </w:pPr>
          </w:p>
        </w:tc>
      </w:tr>
      <w:tr>
        <w:trPr>
          <w:trHeight w:val="205"/>
        </w:trPr>
        <w:tc>
          <w:tcPr>
            <w:tcW w:w="6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3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98"/>
              </w:rPr>
              <w:t>(4,049)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3,075</w:t>
            </w:r>
          </w:p>
        </w:tc>
        <w:tc>
          <w:tcPr>
            <w:tcW w:w="0" w:type="dxa"/>
            <w:vAlign w:val="bottom"/>
          </w:tcPr>
          <w:p>
            <w:pPr>
              <w:spacing w:after="0"/>
              <w:rPr>
                <w:sz w:val="1"/>
                <w:szCs w:val="1"/>
                <w:color w:val="auto"/>
              </w:rPr>
            </w:pPr>
          </w:p>
        </w:tc>
      </w:tr>
      <w:tr>
        <w:trPr>
          <w:trHeight w:val="202"/>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76,199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64,389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73,272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PROGRESS SOFTWARE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2280" w:type="dxa"/>
            <w:vAlign w:val="bottom"/>
            <w:gridSpan w:val="5"/>
          </w:tcPr>
          <w:p>
            <w:pPr>
              <w:ind w:left="600"/>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color w:val="auto"/>
                <w:w w:val="94"/>
              </w:rPr>
              <w:t>Total</w:t>
            </w: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1140" w:type="dxa"/>
            <w:vAlign w:val="bottom"/>
            <w:tcBorders>
              <w:top w:val="single" w:sz="8" w:color="auto"/>
            </w:tcBorders>
            <w:gridSpan w:val="2"/>
            <w:vMerge w:val="restart"/>
          </w:tcPr>
          <w:p>
            <w:pPr>
              <w:jc w:val="center"/>
              <w:ind w:right="100"/>
              <w:spacing w:after="0" w:line="177" w:lineRule="exact"/>
              <w:rPr>
                <w:sz w:val="20"/>
                <w:szCs w:val="20"/>
                <w:color w:val="auto"/>
              </w:rPr>
            </w:pPr>
            <w:r>
              <w:rPr>
                <w:rFonts w:ascii="Times New Roman" w:cs="Times New Roman" w:eastAsia="Times New Roman" w:hAnsi="Times New Roman"/>
                <w:sz w:val="16"/>
                <w:szCs w:val="16"/>
                <w:color w:val="auto"/>
                <w:w w:val="97"/>
              </w:rPr>
              <w:t>Number of</w:t>
            </w:r>
          </w:p>
        </w:tc>
        <w:tc>
          <w:tcPr>
            <w:tcW w:w="1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vMerge w:val="restart"/>
          </w:tcPr>
          <w:p>
            <w:pPr>
              <w:jc w:val="center"/>
              <w:ind w:right="240"/>
              <w:spacing w:after="0" w:line="177" w:lineRule="exact"/>
              <w:rPr>
                <w:sz w:val="20"/>
                <w:szCs w:val="20"/>
                <w:color w:val="auto"/>
              </w:rPr>
            </w:pPr>
            <w:r>
              <w:rPr>
                <w:rFonts w:ascii="Times New Roman" w:cs="Times New Roman" w:eastAsia="Times New Roman" w:hAnsi="Times New Roman"/>
                <w:sz w:val="16"/>
                <w:szCs w:val="16"/>
                <w:color w:val="auto"/>
                <w:w w:val="96"/>
              </w:rPr>
              <w:t>Additional</w:t>
            </w:r>
          </w:p>
        </w:tc>
        <w:tc>
          <w:tcPr>
            <w:tcW w:w="160" w:type="dxa"/>
            <w:vAlign w:val="bottom"/>
          </w:tcPr>
          <w:p>
            <w:pPr>
              <w:spacing w:after="0" w:line="20" w:lineRule="exact"/>
              <w:rPr>
                <w:sz w:val="1"/>
                <w:szCs w:val="1"/>
                <w:color w:val="auto"/>
              </w:rPr>
            </w:pPr>
          </w:p>
        </w:tc>
        <w:tc>
          <w:tcPr>
            <w:tcW w:w="940" w:type="dxa"/>
            <w:vAlign w:val="bottom"/>
            <w:gridSpan w:val="2"/>
            <w:vMerge w:val="restart"/>
          </w:tcPr>
          <w:p>
            <w:pPr>
              <w:ind w:left="60"/>
              <w:spacing w:after="0" w:line="177" w:lineRule="exact"/>
              <w:rPr>
                <w:sz w:val="20"/>
                <w:szCs w:val="20"/>
                <w:color w:val="auto"/>
              </w:rPr>
            </w:pPr>
            <w:r>
              <w:rPr>
                <w:rFonts w:ascii="Times New Roman" w:cs="Times New Roman" w:eastAsia="Times New Roman" w:hAnsi="Times New Roman"/>
                <w:sz w:val="16"/>
                <w:szCs w:val="16"/>
                <w:color w:val="auto"/>
              </w:rPr>
              <w:t>Retained</w:t>
            </w:r>
          </w:p>
        </w:tc>
        <w:tc>
          <w:tcPr>
            <w:tcW w:w="1480" w:type="dxa"/>
            <w:vAlign w:val="bottom"/>
            <w:gridSpan w:val="3"/>
            <w:vMerge w:val="restart"/>
          </w:tcPr>
          <w:p>
            <w:pPr>
              <w:jc w:val="center"/>
              <w:ind w:right="100"/>
              <w:spacing w:after="0" w:line="177" w:lineRule="exact"/>
              <w:rPr>
                <w:sz w:val="20"/>
                <w:szCs w:val="20"/>
                <w:color w:val="auto"/>
              </w:rPr>
            </w:pPr>
            <w:r>
              <w:rPr>
                <w:rFonts w:ascii="Times New Roman" w:cs="Times New Roman" w:eastAsia="Times New Roman" w:hAnsi="Times New Roman"/>
                <w:sz w:val="16"/>
                <w:szCs w:val="16"/>
                <w:color w:val="auto"/>
                <w:w w:val="96"/>
              </w:rPr>
              <w:t>Accumulated Other</w:t>
            </w:r>
          </w:p>
        </w:tc>
        <w:tc>
          <w:tcPr>
            <w:tcW w:w="12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22"/>
              <w:spacing w:after="0" w:line="155" w:lineRule="exact"/>
              <w:rPr>
                <w:sz w:val="20"/>
                <w:szCs w:val="20"/>
                <w:color w:val="auto"/>
              </w:rPr>
            </w:pPr>
            <w:r>
              <w:rPr>
                <w:rFonts w:ascii="Times New Roman" w:cs="Times New Roman" w:eastAsia="Times New Roman" w:hAnsi="Times New Roman"/>
                <w:sz w:val="16"/>
                <w:szCs w:val="16"/>
                <w:color w:val="auto"/>
                <w:w w:val="97"/>
              </w:rPr>
              <w:t>Stockholders'</w:t>
            </w:r>
          </w:p>
        </w:tc>
        <w:tc>
          <w:tcPr>
            <w:tcW w:w="0" w:type="dxa"/>
            <w:vAlign w:val="bottom"/>
          </w:tcPr>
          <w:p>
            <w:pPr>
              <w:spacing w:after="0"/>
              <w:rPr>
                <w:sz w:val="1"/>
                <w:szCs w:val="1"/>
                <w:color w:val="auto"/>
              </w:rPr>
            </w:pPr>
          </w:p>
        </w:tc>
      </w:tr>
      <w:tr>
        <w:trPr>
          <w:trHeight w:val="20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Shares</w:t>
            </w: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6"/>
              </w:rPr>
              <w:t>Paid-In Capital</w:t>
            </w:r>
          </w:p>
        </w:tc>
        <w:tc>
          <w:tcPr>
            <w:tcW w:w="16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Earnings</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6"/>
              </w:rPr>
              <w:t>Comprehensive Loss</w:t>
            </w:r>
          </w:p>
        </w:tc>
        <w:tc>
          <w:tcPr>
            <w:tcW w:w="120" w:type="dxa"/>
            <w:vAlign w:val="bottom"/>
          </w:tcPr>
          <w:p>
            <w:pPr>
              <w:spacing w:after="0"/>
              <w:rPr>
                <w:sz w:val="17"/>
                <w:szCs w:val="17"/>
                <w:color w:val="auto"/>
              </w:rPr>
            </w:pPr>
          </w:p>
        </w:tc>
        <w:tc>
          <w:tcPr>
            <w:tcW w:w="102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8"/>
              </w:rPr>
              <w:t>Equity</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1, 2022</w:t>
            </w: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43,257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101,656</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398,504</w:t>
            </w:r>
          </w:p>
        </w:tc>
        <w:tc>
          <w:tcPr>
            <w:tcW w:w="0" w:type="dxa"/>
            <w:vAlign w:val="bottom"/>
          </w:tcPr>
          <w:p>
            <w:pPr>
              <w:spacing w:after="0"/>
              <w:rPr>
                <w:sz w:val="1"/>
                <w:szCs w:val="1"/>
                <w:color w:val="auto"/>
              </w:rPr>
            </w:pPr>
          </w:p>
        </w:tc>
      </w:tr>
      <w:tr>
        <w:trPr>
          <w:trHeight w:val="205"/>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stock under employee stock purchase plan</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0" w:type="dxa"/>
            <w:vAlign w:val="bottom"/>
          </w:tcPr>
          <w:p>
            <w:pPr>
              <w:spacing w:after="0"/>
              <w:rPr>
                <w:sz w:val="1"/>
                <w:szCs w:val="1"/>
                <w:color w:val="auto"/>
              </w:rPr>
            </w:pPr>
          </w:p>
        </w:tc>
      </w:tr>
      <w:tr>
        <w:trPr>
          <w:trHeight w:val="205"/>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Vesting of RSUs</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9"/>
              </w:rPr>
              <w:t>Withholding tax payments related to net issuance of RSUs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(12,377)</w:t>
            </w:r>
          </w:p>
        </w:tc>
        <w:tc>
          <w:tcPr>
            <w:tcW w:w="0" w:type="dxa"/>
            <w:vAlign w:val="bottom"/>
          </w:tcPr>
          <w:p>
            <w:pPr>
              <w:spacing w:after="0"/>
              <w:rPr>
                <w:sz w:val="1"/>
                <w:szCs w:val="1"/>
                <w:color w:val="auto"/>
              </w:rPr>
            </w:pPr>
          </w:p>
        </w:tc>
      </w:tr>
      <w:tr>
        <w:trPr>
          <w:trHeight w:val="205"/>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40,529</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Dividends declared</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(31,815)</w:t>
            </w:r>
          </w:p>
        </w:tc>
        <w:tc>
          <w:tcPr>
            <w:tcW w:w="0" w:type="dxa"/>
            <w:vAlign w:val="bottom"/>
          </w:tcPr>
          <w:p>
            <w:pPr>
              <w:spacing w:after="0"/>
              <w:rPr>
                <w:sz w:val="1"/>
                <w:szCs w:val="1"/>
                <w:color w:val="auto"/>
              </w:rPr>
            </w:pPr>
          </w:p>
        </w:tc>
      </w:tr>
      <w:tr>
        <w:trPr>
          <w:trHeight w:val="205"/>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repurchases and retirements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(33,962)</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70,197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70,197</w:t>
            </w:r>
          </w:p>
        </w:tc>
        <w:tc>
          <w:tcPr>
            <w:tcW w:w="0" w:type="dxa"/>
            <w:vAlign w:val="bottom"/>
          </w:tcPr>
          <w:p>
            <w:pPr>
              <w:spacing w:after="0"/>
              <w:rPr>
                <w:sz w:val="1"/>
                <w:szCs w:val="1"/>
                <w:color w:val="auto"/>
              </w:rPr>
            </w:pPr>
          </w:p>
        </w:tc>
      </w:tr>
      <w:tr>
        <w:trPr>
          <w:trHeight w:val="205"/>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November 30, 2023</w:t>
            </w:r>
          </w:p>
        </w:tc>
        <w:tc>
          <w:tcPr>
            <w:tcW w:w="10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43,796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370,579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120,858</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459,715</w:t>
            </w:r>
          </w:p>
        </w:tc>
        <w:tc>
          <w:tcPr>
            <w:tcW w:w="0" w:type="dxa"/>
            <w:vAlign w:val="bottom"/>
          </w:tcPr>
          <w:p>
            <w:pPr>
              <w:spacing w:after="0"/>
              <w:rPr>
                <w:sz w:val="1"/>
                <w:szCs w:val="1"/>
                <w:color w:val="auto"/>
              </w:rPr>
            </w:pPr>
          </w:p>
        </w:tc>
      </w:tr>
      <w:tr>
        <w:trPr>
          <w:trHeight w:val="198"/>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stock under employee stock purchase plan</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12,333</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15,466</w:t>
            </w:r>
          </w:p>
        </w:tc>
        <w:tc>
          <w:tcPr>
            <w:tcW w:w="0" w:type="dxa"/>
            <w:vAlign w:val="bottom"/>
          </w:tcPr>
          <w:p>
            <w:pPr>
              <w:spacing w:after="0"/>
              <w:rPr>
                <w:sz w:val="1"/>
                <w:szCs w:val="1"/>
                <w:color w:val="auto"/>
              </w:rPr>
            </w:pPr>
          </w:p>
        </w:tc>
      </w:tr>
      <w:tr>
        <w:trPr>
          <w:trHeight w:val="205"/>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Vesting of RSUs</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9"/>
              </w:rPr>
              <w:t>Withholding tax payments related to net issuance of RSUs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(17,170)</w:t>
            </w:r>
          </w:p>
        </w:tc>
        <w:tc>
          <w:tcPr>
            <w:tcW w:w="0" w:type="dxa"/>
            <w:vAlign w:val="bottom"/>
          </w:tcPr>
          <w:p>
            <w:pPr>
              <w:spacing w:after="0"/>
              <w:rPr>
                <w:sz w:val="1"/>
                <w:szCs w:val="1"/>
                <w:color w:val="auto"/>
              </w:rPr>
            </w:pPr>
          </w:p>
        </w:tc>
      </w:tr>
      <w:tr>
        <w:trPr>
          <w:trHeight w:val="205"/>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46,756</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capped calls, net of tax</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(32,080)</w:t>
            </w:r>
          </w:p>
        </w:tc>
        <w:tc>
          <w:tcPr>
            <w:tcW w:w="0" w:type="dxa"/>
            <w:vAlign w:val="bottom"/>
          </w:tcPr>
          <w:p>
            <w:pPr>
              <w:spacing w:after="0"/>
              <w:rPr>
                <w:sz w:val="1"/>
                <w:szCs w:val="1"/>
                <w:color w:val="auto"/>
              </w:rPr>
            </w:pPr>
          </w:p>
        </w:tc>
      </w:tr>
      <w:tr>
        <w:trPr>
          <w:trHeight w:val="220"/>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Dividends declared</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(23,844)</w:t>
            </w:r>
          </w:p>
        </w:tc>
        <w:tc>
          <w:tcPr>
            <w:tcW w:w="0" w:type="dxa"/>
            <w:vAlign w:val="bottom"/>
          </w:tcPr>
          <w:p>
            <w:pPr>
              <w:spacing w:after="0"/>
              <w:rPr>
                <w:sz w:val="1"/>
                <w:szCs w:val="1"/>
                <w:color w:val="auto"/>
              </w:rPr>
            </w:pPr>
          </w:p>
        </w:tc>
      </w:tr>
      <w:tr>
        <w:trPr>
          <w:trHeight w:val="207"/>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repurchases and retirements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(86,777)</w:t>
            </w:r>
          </w:p>
        </w:tc>
        <w:tc>
          <w:tcPr>
            <w:tcW w:w="0" w:type="dxa"/>
            <w:vAlign w:val="bottom"/>
          </w:tcPr>
          <w:p>
            <w:pPr>
              <w:spacing w:after="0"/>
              <w:rPr>
                <w:sz w:val="1"/>
                <w:szCs w:val="1"/>
                <w:color w:val="auto"/>
              </w:rPr>
            </w:pPr>
          </w:p>
        </w:tc>
      </w:tr>
      <w:tr>
        <w:trPr>
          <w:trHeight w:val="205"/>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68,438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68,438</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w:t>
            </w:r>
          </w:p>
        </w:tc>
        <w:tc>
          <w:tcPr>
            <w:tcW w:w="0" w:type="dxa"/>
            <w:vAlign w:val="bottom"/>
          </w:tcPr>
          <w:p>
            <w:pPr>
              <w:spacing w:after="0"/>
              <w:rPr>
                <w:sz w:val="1"/>
                <w:szCs w:val="1"/>
                <w:color w:val="auto"/>
              </w:rPr>
            </w:pPr>
          </w:p>
        </w:tc>
      </w:tr>
      <w:tr>
        <w:trPr>
          <w:trHeight w:val="198"/>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November 30, 2024</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43,361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354,158</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120,405</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(36,209)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438,788</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stock under employee stock purchase plan</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13,772</w:t>
            </w:r>
          </w:p>
        </w:tc>
        <w:tc>
          <w:tcPr>
            <w:tcW w:w="0" w:type="dxa"/>
            <w:vAlign w:val="bottom"/>
          </w:tcPr>
          <w:p>
            <w:pPr>
              <w:spacing w:after="0"/>
              <w:rPr>
                <w:sz w:val="1"/>
                <w:szCs w:val="1"/>
                <w:color w:val="auto"/>
              </w:rPr>
            </w:pPr>
          </w:p>
        </w:tc>
      </w:tr>
      <w:tr>
        <w:trPr>
          <w:trHeight w:val="205"/>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5,162</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Vesting of RSUs</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9"/>
              </w:rPr>
              <w:t>Withholding tax payments related to net issuance of 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(15,184)</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64,768</w:t>
            </w:r>
          </w:p>
        </w:tc>
        <w:tc>
          <w:tcPr>
            <w:tcW w:w="0" w:type="dxa"/>
            <w:vAlign w:val="bottom"/>
          </w:tcPr>
          <w:p>
            <w:pPr>
              <w:spacing w:after="0"/>
              <w:rPr>
                <w:sz w:val="1"/>
                <w:szCs w:val="1"/>
                <w:color w:val="auto"/>
              </w:rPr>
            </w:pPr>
          </w:p>
        </w:tc>
      </w:tr>
      <w:tr>
        <w:trPr>
          <w:trHeight w:val="205"/>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repurchases and retirements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(66,165)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(105,156)</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73,133</w:t>
            </w:r>
          </w:p>
        </w:tc>
        <w:tc>
          <w:tcPr>
            <w:tcW w:w="0" w:type="dxa"/>
            <w:vAlign w:val="bottom"/>
          </w:tcPr>
          <w:p>
            <w:pPr>
              <w:spacing w:after="0"/>
              <w:rPr>
                <w:sz w:val="1"/>
                <w:szCs w:val="1"/>
                <w:color w:val="auto"/>
              </w:rPr>
            </w:pPr>
          </w:p>
        </w:tc>
      </w:tr>
      <w:tr>
        <w:trPr>
          <w:trHeight w:val="205"/>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0" w:type="dxa"/>
            <w:vAlign w:val="bottom"/>
          </w:tcPr>
          <w:p>
            <w:pPr>
              <w:spacing w:after="0"/>
              <w:rPr>
                <w:sz w:val="1"/>
                <w:szCs w:val="1"/>
                <w:color w:val="auto"/>
              </w:rPr>
            </w:pPr>
          </w:p>
        </w:tc>
      </w:tr>
      <w:tr>
        <w:trPr>
          <w:trHeight w:val="227"/>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November 30, 2025</w:t>
            </w:r>
          </w:p>
        </w:tc>
        <w:tc>
          <w:tcPr>
            <w:tcW w:w="10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42,336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478,349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PROGRESS SOFTWARE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Fiscal Year Ended</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00"/>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30, 2025</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November 30, 2024</w:t>
            </w:r>
          </w:p>
        </w:tc>
        <w:tc>
          <w:tcPr>
            <w:tcW w:w="120" w:type="dxa"/>
            <w:vAlign w:val="bottom"/>
          </w:tcPr>
          <w:p>
            <w:pPr>
              <w:spacing w:after="0"/>
              <w:rPr>
                <w:sz w:val="17"/>
                <w:szCs w:val="17"/>
                <w:color w:val="auto"/>
              </w:rPr>
            </w:pPr>
          </w:p>
        </w:tc>
        <w:tc>
          <w:tcPr>
            <w:tcW w:w="14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8"/>
              </w:rPr>
              <w:t>November 30, 2023</w:t>
            </w:r>
          </w:p>
        </w:tc>
      </w:tr>
      <w:tr>
        <w:trPr>
          <w:trHeight w:val="189"/>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r>
      <w:tr>
        <w:trPr>
          <w:trHeight w:val="205"/>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73,133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68,438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70,197</w:t>
            </w:r>
          </w:p>
        </w:tc>
      </w:tr>
      <w:tr>
        <w:trPr>
          <w:trHeight w:val="209"/>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5"/>
        </w:trPr>
        <w:tc>
          <w:tcPr>
            <w:tcW w:w="63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6,345</w:t>
            </w:r>
          </w:p>
        </w:tc>
      </w:tr>
      <w:tr>
        <w:trPr>
          <w:trHeight w:val="209"/>
        </w:trPr>
        <w:tc>
          <w:tcPr>
            <w:tcW w:w="6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Amortization of acquired intangibles and other</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96,802</w:t>
            </w:r>
          </w:p>
        </w:tc>
      </w:tr>
      <w:tr>
        <w:trPr>
          <w:trHeight w:val="205"/>
        </w:trPr>
        <w:tc>
          <w:tcPr>
            <w:tcW w:w="63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w:t>
            </w:r>
          </w:p>
        </w:tc>
      </w:tr>
      <w:tr>
        <w:trPr>
          <w:trHeight w:val="209"/>
        </w:trPr>
        <w:tc>
          <w:tcPr>
            <w:tcW w:w="6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40,529</w:t>
            </w:r>
          </w:p>
        </w:tc>
      </w:tr>
      <w:tr>
        <w:trPr>
          <w:trHeight w:val="205"/>
        </w:trPr>
        <w:tc>
          <w:tcPr>
            <w:tcW w:w="63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Non-cash lease expense</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9,393</w:t>
            </w:r>
          </w:p>
        </w:tc>
      </w:tr>
      <w:tr>
        <w:trPr>
          <w:trHeight w:val="209"/>
        </w:trPr>
        <w:tc>
          <w:tcPr>
            <w:tcW w:w="6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(28,641)</w:t>
            </w:r>
          </w:p>
        </w:tc>
      </w:tr>
      <w:tr>
        <w:trPr>
          <w:trHeight w:val="205"/>
        </w:trPr>
        <w:tc>
          <w:tcPr>
            <w:tcW w:w="63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Credit losses and other sales allowances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09"/>
        </w:trPr>
        <w:tc>
          <w:tcPr>
            <w:tcW w:w="6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5"/>
        </w:trPr>
        <w:tc>
          <w:tcPr>
            <w:tcW w:w="63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12,119</w:t>
            </w:r>
          </w:p>
        </w:tc>
      </w:tr>
      <w:tr>
        <w:trPr>
          <w:trHeight w:val="209"/>
        </w:trPr>
        <w:tc>
          <w:tcPr>
            <w:tcW w:w="6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r>
      <w:tr>
        <w:trPr>
          <w:trHeight w:val="205"/>
        </w:trPr>
        <w:tc>
          <w:tcPr>
            <w:tcW w:w="63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w:t>
            </w:r>
          </w:p>
        </w:tc>
      </w:tr>
      <w:tr>
        <w:trPr>
          <w:trHeight w:val="209"/>
        </w:trPr>
        <w:tc>
          <w:tcPr>
            <w:tcW w:w="6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05"/>
        </w:trPr>
        <w:tc>
          <w:tcPr>
            <w:tcW w:w="63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Lease liabilities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(10,472)</w:t>
            </w:r>
          </w:p>
        </w:tc>
      </w:tr>
      <w:tr>
        <w:trPr>
          <w:trHeight w:val="209"/>
        </w:trPr>
        <w:tc>
          <w:tcPr>
            <w:tcW w:w="6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Income taxes payable</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05"/>
        </w:trPr>
        <w:tc>
          <w:tcPr>
            <w:tcW w:w="634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(24,102)</w:t>
            </w:r>
          </w:p>
        </w:tc>
      </w:tr>
      <w:tr>
        <w:trPr>
          <w:trHeight w:val="202"/>
        </w:trPr>
        <w:tc>
          <w:tcPr>
            <w:tcW w:w="63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Net cash flows from operating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235,187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211,494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173,920</w:t>
            </w:r>
          </w:p>
        </w:tc>
      </w:tr>
      <w:tr>
        <w:trPr>
          <w:trHeight w:val="185"/>
        </w:trPr>
        <w:tc>
          <w:tcPr>
            <w:tcW w:w="63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Cash flows used in investing activities: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9"/>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(15,262)</w:t>
            </w:r>
          </w:p>
        </w:tc>
      </w:tr>
      <w:tr>
        <w:trPr>
          <w:trHeight w:val="205"/>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Sales and maturities of investments</w:t>
            </w:r>
          </w:p>
        </w:tc>
        <w:tc>
          <w:tcPr>
            <w:tcW w:w="1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15,700</w:t>
            </w:r>
          </w:p>
        </w:tc>
      </w:tr>
      <w:tr>
        <w:trPr>
          <w:trHeight w:val="209"/>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w:t>
            </w:r>
          </w:p>
        </w:tc>
      </w:tr>
      <w:tr>
        <w:trPr>
          <w:trHeight w:val="205"/>
        </w:trPr>
        <w:tc>
          <w:tcPr>
            <w:tcW w:w="6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Payments for acquisitions, net of cash acquired</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(852,702)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(355,250)</w:t>
            </w:r>
          </w:p>
        </w:tc>
      </w:tr>
      <w:tr>
        <w:trPr>
          <w:trHeight w:val="202"/>
        </w:trPr>
        <w:tc>
          <w:tcPr>
            <w:tcW w:w="63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(857,908)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(360,382)</w:t>
            </w:r>
          </w:p>
        </w:tc>
      </w:tr>
      <w:tr>
        <w:trPr>
          <w:trHeight w:val="185"/>
        </w:trPr>
        <w:tc>
          <w:tcPr>
            <w:tcW w:w="63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Cash flows (used in) from financing activities: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9"/>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equity plans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25,956</w:t>
            </w:r>
          </w:p>
        </w:tc>
      </w:tr>
      <w:tr>
        <w:trPr>
          <w:trHeight w:val="205"/>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for taxes related to net share settlements of equity awards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(12,377)</w:t>
            </w:r>
          </w:p>
        </w:tc>
      </w:tr>
      <w:tr>
        <w:trPr>
          <w:trHeight w:val="209"/>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(33,962)</w:t>
            </w:r>
          </w:p>
        </w:tc>
      </w:tr>
      <w:tr>
        <w:trPr>
          <w:trHeight w:val="205"/>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convertible senior notes, net of issuance costs of $11,200</w:t>
            </w:r>
          </w:p>
        </w:tc>
        <w:tc>
          <w:tcPr>
            <w:tcW w:w="1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capped calls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 equivalent and dividend payments to stockholders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(31,554)</w:t>
            </w:r>
          </w:p>
        </w:tc>
      </w:tr>
      <w:tr>
        <w:trPr>
          <w:trHeight w:val="209"/>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the issuance of debt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195,000</w:t>
            </w:r>
          </w:p>
        </w:tc>
      </w:tr>
      <w:tr>
        <w:trPr>
          <w:trHeight w:val="205"/>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 of revolving line of credit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r>
      <w:tr>
        <w:trPr>
          <w:trHeight w:val="209"/>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payment on term loan</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r>
      <w:tr>
        <w:trPr>
          <w:trHeight w:val="205"/>
        </w:trPr>
        <w:tc>
          <w:tcPr>
            <w:tcW w:w="6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Payment of credit facility debt issuance costs</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3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Net cash flows (used in) from financing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(238,369)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640,823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51,188</w:t>
            </w:r>
          </w:p>
        </w:tc>
      </w:tr>
      <w:tr>
        <w:trPr>
          <w:trHeight w:val="198"/>
        </w:trPr>
        <w:tc>
          <w:tcPr>
            <w:tcW w:w="6340" w:type="dxa"/>
            <w:vAlign w:val="bottom"/>
            <w:tcBorders>
              <w:bottom w:val="single" w:sz="8" w:color="CCEEFF"/>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Effect of exchange rate changes on cash</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5,955</w:t>
            </w:r>
          </w:p>
        </w:tc>
      </w:tr>
      <w:tr>
        <w:trPr>
          <w:trHeight w:val="20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(129,319)</w:t>
            </w:r>
          </w:p>
        </w:tc>
      </w:tr>
      <w:tr>
        <w:trPr>
          <w:trHeight w:val="198"/>
        </w:trPr>
        <w:tc>
          <w:tcPr>
            <w:tcW w:w="6340" w:type="dxa"/>
            <w:vAlign w:val="bottom"/>
            <w:tcBorders>
              <w:bottom w:val="single" w:sz="8" w:color="CCEEFF"/>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118,077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126,958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256,277</w:t>
            </w:r>
          </w:p>
        </w:tc>
      </w:tr>
      <w:tr>
        <w:trPr>
          <w:trHeight w:val="225"/>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94,807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126,958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w:t>
            </w: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340" w:type="dxa"/>
            <w:vAlign w:val="bottom"/>
          </w:tcPr>
          <w:p>
            <w:pPr>
              <w:ind w:left="320"/>
              <w:spacing w:after="0" w:line="155" w:lineRule="exact"/>
              <w:rPr>
                <w:sz w:val="20"/>
                <w:szCs w:val="20"/>
                <w:color w:val="auto"/>
              </w:rPr>
            </w:pPr>
            <w:r>
              <w:rPr>
                <w:rFonts w:ascii="Times New Roman" w:cs="Times New Roman" w:eastAsia="Times New Roman" w:hAnsi="Times New Roman"/>
                <w:sz w:val="16"/>
                <w:szCs w:val="16"/>
                <w:color w:val="auto"/>
                <w:w w:val="96"/>
              </w:rPr>
              <w:t>Cash paid for income taxes, net of refunds of $2,509, $2,881, and $965 in 2025, 2024, and 2023,</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34,353</w:t>
            </w:r>
          </w:p>
        </w:tc>
        <w:tc>
          <w:tcPr>
            <w:tcW w:w="640" w:type="dxa"/>
            <w:vAlign w:val="bottom"/>
            <w:vMerge w:val="restart"/>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32,386</w:t>
            </w:r>
          </w:p>
        </w:tc>
        <w:tc>
          <w:tcPr>
            <w:tcW w:w="640" w:type="dxa"/>
            <w:vAlign w:val="bottom"/>
            <w:vMerge w:val="restart"/>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39,771</w:t>
            </w:r>
          </w:p>
        </w:tc>
        <w:tc>
          <w:tcPr>
            <w:tcW w:w="0" w:type="dxa"/>
            <w:vAlign w:val="bottom"/>
          </w:tcPr>
          <w:p>
            <w:pPr>
              <w:spacing w:after="0"/>
              <w:rPr>
                <w:sz w:val="1"/>
                <w:szCs w:val="1"/>
                <w:color w:val="auto"/>
              </w:rPr>
            </w:pPr>
          </w:p>
        </w:tc>
      </w:tr>
      <w:tr>
        <w:trPr>
          <w:trHeight w:val="205"/>
        </w:trPr>
        <w:tc>
          <w:tcPr>
            <w:tcW w:w="6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respectively</w:t>
            </w:r>
          </w:p>
        </w:tc>
        <w:tc>
          <w:tcPr>
            <w:tcW w:w="5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for interest</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63,524</w:t>
            </w:r>
          </w:p>
        </w:tc>
        <w:tc>
          <w:tcPr>
            <w:tcW w:w="64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21,771</w:t>
            </w:r>
          </w:p>
        </w:tc>
        <w:tc>
          <w:tcPr>
            <w:tcW w:w="64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23,867</w:t>
            </w:r>
          </w:p>
        </w:tc>
        <w:tc>
          <w:tcPr>
            <w:tcW w:w="0" w:type="dxa"/>
            <w:vAlign w:val="bottom"/>
          </w:tcPr>
          <w:p>
            <w:pPr>
              <w:spacing w:after="0"/>
              <w:rPr>
                <w:sz w:val="1"/>
                <w:szCs w:val="1"/>
                <w:color w:val="auto"/>
              </w:rPr>
            </w:pPr>
          </w:p>
        </w:tc>
      </w:tr>
      <w:tr>
        <w:trPr>
          <w:trHeight w:val="205"/>
        </w:trPr>
        <w:tc>
          <w:tcPr>
            <w:tcW w:w="6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Dividends declared and unpaid</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8,376</w:t>
            </w:r>
          </w:p>
        </w:tc>
        <w:tc>
          <w:tcPr>
            <w:tcW w:w="0" w:type="dxa"/>
            <w:vAlign w:val="bottom"/>
          </w:tcPr>
          <w:p>
            <w:pPr>
              <w:spacing w:after="0"/>
              <w:rPr>
                <w:sz w:val="1"/>
                <w:szCs w:val="1"/>
                <w:color w:val="auto"/>
              </w:rPr>
            </w:pPr>
          </w:p>
        </w:tc>
      </w:tr>
      <w:tr>
        <w:trPr>
          <w:trHeight w:val="226"/>
        </w:trPr>
        <w:tc>
          <w:tcPr>
            <w:tcW w:w="63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Contingent consideration payable in Nuclia acquisition</w:t>
            </w: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64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786"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PROGRESS SOFTWARE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Nature of Business and Summary of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Progress provides software products that enable our customers to develop, deploy, and manage responsible AI-powered applications and digital experiences.</w:t>
      </w:r>
    </w:p>
    <w:p>
      <w:pPr>
        <w:spacing w:after="0" w:line="21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color w:val="auto"/>
        </w:rPr>
        <w:t>Many of our products are sold as perpetual licenses, but certain products use term licensing models and our cloud-based offerings are marketed as Software-as-a-Service ("SaaS") offerings. In 2024, we acquired ShareFile and in 2025 we acquired Nuclia, each of which is a SaaS offering.</w:t>
      </w:r>
    </w:p>
    <w:p>
      <w:pPr>
        <w:spacing w:after="0" w:line="186"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color w:val="auto"/>
        </w:rPr>
        <w:t>We operate in North America, Latin America, Europe, the Middle East and Africa ("EMEA"), and Asia and Australia ("Asia Pacific"), through local subsidiaries as well as independent distributors.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Principles</w:t>
      </w:r>
    </w:p>
    <w:p>
      <w:pPr>
        <w:spacing w:after="0" w:line="246"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7"/>
          <w:szCs w:val="17"/>
          <w:color w:val="auto"/>
        </w:rPr>
        <w:t>We prepare our consolidated financial statements and accompanying notes in conformity with accounting principles generally accepted in the United States of America ("GAAP").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Consolidation</w:t>
      </w:r>
    </w:p>
    <w:p>
      <w:pPr>
        <w:spacing w:after="0" w:line="24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The consolidated financial statements include our accounts and those of our subsidiaries (all of which are wholly owned). We eliminate all intercompany balances and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4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color w:val="auto"/>
        </w:rPr>
        <w:t>The preparation of consolidated financial statements requires management to make estimates and assumptions that affect the amounts reported in the financial statements and accompanying notes. On an on-going basis, management evaluates its estimates and records changes in estimates in the period in which they become known. These estimates are based on historical data and experience, as well as various other assumptions that management believes to be reasonable under the circumstances. Actual results could differ from those estimates.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Translation</w:t>
      </w:r>
    </w:p>
    <w:p>
      <w:pPr>
        <w:spacing w:after="0" w:line="2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color w:val="auto"/>
        </w:rPr>
        <w:t>The functional currency of most of our foreign subsidiaries is the local currency in which the subsidiary operates. For foreign operations where the local currency is considered to be the functional currency, we translate assets and liabilities into U.S. Dollars at the exchange rate on the balance sheet date. We translate income and expense items at average rates of exchange prevailing during each period. We accumulate translation adjustments in accumulated other comprehensive loss, a component of stockholders' equity.</w:t>
      </w:r>
    </w:p>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For foreign operations where the U.S. Dollar is considered to be the functional currency, we remeasure monetary assets and liabilities into U.S. Dollars at the exchange rate on the balance sheet date and non-monetary assets and liabilities are remeasured into U.S. Dollars at historical exchange rates. We translate income and expense items at average rates of exchange prevailing during each period. We recognize remeasurement adjustments currently as a component of foreign currency loss, net in the statements of operations.</w:t>
      </w:r>
    </w:p>
    <w:p>
      <w:pPr>
        <w:spacing w:after="0" w:line="19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color w:val="auto"/>
        </w:rPr>
        <w:t>Transaction gains or losses that arise from exchange rate fluctuations on transactions denominated in a currency other than the functional currency are included in foreign currency loss, net in the statements of operations as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Equivalents</w:t>
      </w:r>
    </w:p>
    <w:p>
      <w:pPr>
        <w:spacing w:after="0" w:line="246"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color w:val="auto"/>
        </w:rPr>
        <w:t>Cash equivalents include short-term, highly liquid investments purchased with remaining maturities of three months or less. As of November 30, 2025 and 2024, all of our cash equivalents were invested in money market funds.</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740"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Allowances for Doubtful Accounts and Sales Credit Memos</w:t>
      </w:r>
    </w:p>
    <w:p>
      <w:pPr>
        <w:spacing w:after="0" w:line="246" w:lineRule="exact"/>
        <w:rPr>
          <w:sz w:val="20"/>
          <w:szCs w:val="20"/>
          <w:color w:val="auto"/>
        </w:rPr>
      </w:pPr>
    </w:p>
    <w:p>
      <w:pPr>
        <w:jc w:val="both"/>
        <w:ind w:right="460"/>
        <w:spacing w:after="0" w:line="272" w:lineRule="auto"/>
        <w:rPr>
          <w:sz w:val="20"/>
          <w:szCs w:val="20"/>
          <w:color w:val="auto"/>
        </w:rPr>
      </w:pPr>
      <w:r>
        <w:rPr>
          <w:rFonts w:ascii="Times New Roman" w:cs="Times New Roman" w:eastAsia="Times New Roman" w:hAnsi="Times New Roman"/>
          <w:sz w:val="17"/>
          <w:szCs w:val="17"/>
          <w:color w:val="auto"/>
        </w:rPr>
        <w:t>We maintain an allowance for doubtful accounts for estimated losses resulting from the inability of customers to make required payments. We establish this allowance using estimates that we make based on factors such as the composition of the accounts receivable aging, historical bad debts, changes in payment patterns, changes to customer creditworthiness, and current economic trends.</w:t>
      </w:r>
    </w:p>
    <w:p>
      <w:pPr>
        <w:spacing w:after="0" w:line="189"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7"/>
          <w:szCs w:val="17"/>
          <w:color w:val="auto"/>
        </w:rPr>
        <w:t>We also record an allowance for estimates of potential sales credit memos. This allowance is determined based on an analysis of historical credit memos issued and current economic trends, and is recorded as a reduction of revenue.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activity in the allowance for doubtful accounts is as follows: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1"/>
        </w:trPr>
        <w:tc>
          <w:tcPr>
            <w:tcW w:w="6340" w:type="dxa"/>
            <w:vAlign w:val="bottom"/>
          </w:tcPr>
          <w:p>
            <w:pPr>
              <w:spacing w:after="0"/>
              <w:rPr>
                <w:sz w:val="23"/>
                <w:szCs w:val="23"/>
                <w:color w:val="auto"/>
              </w:rPr>
            </w:pPr>
          </w:p>
        </w:tc>
        <w:tc>
          <w:tcPr>
            <w:tcW w:w="1680" w:type="dxa"/>
            <w:vAlign w:val="bottom"/>
            <w:tcBorders>
              <w:bottom w:val="single" w:sz="8" w:color="auto"/>
            </w:tcBorders>
            <w:gridSpan w:val="3"/>
          </w:tcPr>
          <w:p>
            <w:pPr>
              <w:spacing w:after="0"/>
              <w:rPr>
                <w:sz w:val="23"/>
                <w:szCs w:val="23"/>
                <w:color w:val="auto"/>
              </w:rPr>
            </w:pPr>
          </w:p>
        </w:tc>
        <w:tc>
          <w:tcPr>
            <w:tcW w:w="1660" w:type="dxa"/>
            <w:vAlign w:val="bottom"/>
            <w:tcBorders>
              <w:bottom w:val="single" w:sz="8" w:color="auto"/>
            </w:tcBorders>
            <w:gridSpan w:val="3"/>
          </w:tcPr>
          <w:p>
            <w:pPr>
              <w:spacing w:after="0"/>
              <w:rPr>
                <w:sz w:val="23"/>
                <w:szCs w:val="23"/>
                <w:color w:val="auto"/>
              </w:rPr>
            </w:pPr>
          </w:p>
        </w:tc>
        <w:tc>
          <w:tcPr>
            <w:tcW w:w="1560" w:type="dxa"/>
            <w:vAlign w:val="bottom"/>
            <w:tcBorders>
              <w:bottom w:val="single" w:sz="8" w:color="auto"/>
            </w:tcBorders>
            <w:gridSpan w:val="2"/>
          </w:tcPr>
          <w:p>
            <w:pPr>
              <w:spacing w:after="0"/>
              <w:rPr>
                <w:sz w:val="23"/>
                <w:szCs w:val="23"/>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November 30, 2025</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November 30, 2024</w:t>
            </w: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1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 to costs and expenses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Write-offs and other</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r>
      <w:tr>
        <w:trPr>
          <w:trHeight w:val="22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Translation adjustments</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Concentrations of Credit Risk</w:t>
      </w:r>
    </w:p>
    <w:p>
      <w:pPr>
        <w:spacing w:after="0" w:line="24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Our financial instruments that potentially subject us to concentrations of credit risk consist primarily of cash and cash equivalents, derivative instruments, and trade receivables. We hold our cash and cash equivalents and derivative instrument contracts with high quality financial institutions and we monitor the credit ratings of those institutions. We perform ongoing credit evaluations of our customers, and the risk with respect to trade receivables is further mitigated by the diversity, both by geography and by industry, of the customer base. No single customer represented more than 10% of consolidated accounts receivable or revenue in the years presented.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246"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189" w:lineRule="exact"/>
        <w:rPr>
          <w:sz w:val="20"/>
          <w:szCs w:val="20"/>
          <w:color w:val="auto"/>
        </w:rPr>
      </w:pPr>
    </w:p>
    <w:p>
      <w:pPr>
        <w:ind w:left="620" w:right="360" w:hanging="306"/>
        <w:spacing w:after="0" w:line="265"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based upon unadjusted quoted prices for identical instruments in active markets. Our Level 1 investments include money market funds.</w:t>
      </w:r>
    </w:p>
    <w:p>
      <w:pPr>
        <w:ind w:left="620" w:right="120" w:hanging="306"/>
        <w:spacing w:after="0" w:line="256"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are based upon quoted prices for similar instruments in active markets, quoted prices for identical or similar 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derivative assets and liabilities include certain over-the-counter forward contracts. In addition, our disclosures related to the fair value of our 2026 Notes and 2030 Notes (together referred to as "the Notes") are Level 2 measurements.</w:t>
      </w:r>
    </w:p>
    <w:p>
      <w:pPr>
        <w:spacing w:after="0" w:line="197" w:lineRule="exact"/>
        <w:rPr>
          <w:rFonts w:ascii="Times New Roman" w:cs="Times New Roman" w:eastAsia="Times New Roman" w:hAnsi="Times New Roman"/>
          <w:sz w:val="17"/>
          <w:szCs w:val="17"/>
          <w:color w:val="auto"/>
        </w:rPr>
      </w:pPr>
    </w:p>
    <w:p>
      <w:pPr>
        <w:ind w:left="620" w:right="20" w:hanging="306"/>
        <w:spacing w:after="0" w:line="261"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are generally unobservable and typically reflect management's estimates of assumptions that market participants would use in pricing the asset or liability. The fair values are therefore determined using model-based techniques, including option pricing models and discounted cash flow models. Our disclosures related to the fair value of the contingent consideration payable from the Nuclia acquisition are Level 3 measurements.</w:t>
      </w:r>
    </w:p>
    <w:p>
      <w:pPr>
        <w:spacing w:after="0" w:line="1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When developing fair value estimates, we maximize the use of observable inputs and minimize the use of unobservable inputs. When available, we use quoted market prices to measure fair value. The valuation technique used to measure fair value for our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we are required to make judgments about assumptions market participants would use to estimate the fair value of a financial instrument.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Derivative Instruments</w:t>
      </w:r>
    </w:p>
    <w:p>
      <w:pPr>
        <w:spacing w:after="0" w:line="246" w:lineRule="exact"/>
        <w:rPr>
          <w:sz w:val="20"/>
          <w:szCs w:val="20"/>
          <w:color w:val="auto"/>
        </w:rPr>
      </w:pPr>
    </w:p>
    <w:p>
      <w:pPr>
        <w:ind w:right="460"/>
        <w:spacing w:after="0" w:line="291" w:lineRule="auto"/>
        <w:rPr>
          <w:sz w:val="20"/>
          <w:szCs w:val="20"/>
          <w:color w:val="auto"/>
        </w:rPr>
      </w:pPr>
      <w:r>
        <w:rPr>
          <w:rFonts w:ascii="Times New Roman" w:cs="Times New Roman" w:eastAsia="Times New Roman" w:hAnsi="Times New Roman"/>
          <w:sz w:val="17"/>
          <w:szCs w:val="17"/>
          <w:color w:val="auto"/>
        </w:rPr>
        <w:t>We record all derivatives on the consolidated balance sheets at fair value. We use derivative instruments to manage exposures to fluctuations in the value of foreign currencies, which exist as part of our ongoing business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Forward Contracts</w:t>
      </w:r>
    </w:p>
    <w:p>
      <w:pPr>
        <w:spacing w:after="0" w:line="24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Certain assets and forecasted transactions are exposed to foreign currency risk. Our objective for holding derivatives is to eliminate or reduce the impact of these exposures. We periodically monitor our foreign currency exposures to enhance the overall economic effectiveness of our foreign currency hedge positions. Principal currencies hedged include the Euro, British Pound, and Indian Rupee. We do not enter into derivative instruments for speculative purposes, nor do we hold or issue any derivative instruments for trading purposes.</w:t>
      </w:r>
    </w:p>
    <w:p>
      <w:pPr>
        <w:spacing w:after="0" w:line="1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7"/>
          <w:szCs w:val="17"/>
          <w:color w:val="auto"/>
        </w:rPr>
        <w:t>We enter into certain derivative instruments that are not designated as hedges. Although these derivatives are not designated as hedges, we believe that such instruments are closely correlated with the underlying exposure, thus managing the associated risk. The gains or losses from changes in the fair value of such derivative instruments that are not accounted for as hedges are recognized in earnings in foreign currency loss, net in the consolidated statements of operations. The realized and unrealized gains and losses from our forward contracts were not significant in the periods presented.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24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7"/>
          <w:szCs w:val="17"/>
          <w:color w:val="auto"/>
        </w:rPr>
        <w:t>We record property and equipment at cost. Depreciation and amortization are computed using the straight-line method over the estimated useful lives of the related assets. Leasehold improvements are amortized on a straight-line basis over the shorter of the lease term or the useful lives of the assets. Useful lives by major asset class are as follows: computer equipment and software, 3 to 7 years and furniture and fixtures, 5 to 7 years. Repairs and maintenance costs are expensed as incurred.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Software Development Costs</w:t>
      </w:r>
    </w:p>
    <w:p>
      <w:pPr>
        <w:spacing w:after="0" w:line="24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Internal and external costs incurred in the preliminary project stage of internal-use software development and content are expensed as incurred. Internal costs that cannot be reasonably separated between maintenance and relatively minor upgrades and enhancements are also expensed as incurred. The direct costs associated with computer software developed or purchased for internal use incurred during the application development stage have not been significant in the periods presented.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Intangible Assets, and Long-Lived Assets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46"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7"/>
          <w:szCs w:val="17"/>
          <w:color w:val="auto"/>
        </w:rPr>
        <w:t>Goodwill is the amount by which the cost of acquired net assets in a business combination exceeded the fair value of net identifiable assets on the date of purchase. The Company operates as a single reporting unit. We evaluate goodwill and other intangible assets with indefinite useful lives, if any, for impairment annually or on an interim basis when events and circumstances arise that indicate impairment may have occurred.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 and Long-Lived Assets</w:t>
      </w:r>
    </w:p>
    <w:p>
      <w:pPr>
        <w:spacing w:after="0" w:line="24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Intangible assets are comprised of purchased technology, customer-related assets, and trademarks and trade names acquired through business combinations. All of our intangible assets are amortized using the straight-line method over their estimated useful life.</w:t>
      </w:r>
    </w:p>
    <w:p>
      <w:pPr>
        <w:spacing w:after="0" w:line="17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7"/>
          <w:szCs w:val="17"/>
          <w:color w:val="auto"/>
        </w:rPr>
        <w:t>We review long-lived assets (primarily property and equipment) and intangible assets with finite lives for impairment whenever events or changes in business circumstances indicate that the carrying amount of the assets may not be fully recoverable or that the useful lives of those assets are no longer appropriate. We base each impairment test on a comparison of the undiscounted cash flows to the carrying value of the asset or asset group. If impairment is indicated, we write down the asset to its estimated fair value.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did not recognize any asset impairment charges in the years presented.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740"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Comprehensive Income</w:t>
      </w:r>
    </w:p>
    <w:p>
      <w:pPr>
        <w:spacing w:after="0" w:line="246" w:lineRule="exact"/>
        <w:rPr>
          <w:sz w:val="20"/>
          <w:szCs w:val="20"/>
          <w:color w:val="auto"/>
        </w:rPr>
      </w:pPr>
    </w:p>
    <w:p>
      <w:pPr>
        <w:ind w:right="800"/>
        <w:spacing w:after="0" w:line="291" w:lineRule="auto"/>
        <w:rPr>
          <w:sz w:val="20"/>
          <w:szCs w:val="20"/>
          <w:color w:val="auto"/>
        </w:rPr>
      </w:pPr>
      <w:r>
        <w:rPr>
          <w:rFonts w:ascii="Times New Roman" w:cs="Times New Roman" w:eastAsia="Times New Roman" w:hAnsi="Times New Roman"/>
          <w:sz w:val="17"/>
          <w:szCs w:val="17"/>
          <w:color w:val="auto"/>
        </w:rPr>
        <w:t>The components of comprehensive income include, in addition to net income, foreign currency translation adjustments and unrealized gains (losses) on investments and hedging activity.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Accumulated other comprehensive loss by components, net of tax:</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Foreign Currency</w:t>
            </w:r>
          </w:p>
        </w:tc>
        <w:tc>
          <w:tcPr>
            <w:tcW w:w="16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Unrealized Losses on</w:t>
            </w: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Unrealized Gains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color w:val="auto"/>
              </w:rPr>
              <w:t>Translation</w:t>
            </w:r>
          </w:p>
        </w:tc>
        <w:tc>
          <w:tcPr>
            <w:tcW w:w="1680" w:type="dxa"/>
            <w:vAlign w:val="bottom"/>
            <w:gridSpan w:val="3"/>
            <w:vMerge w:val="continue"/>
          </w:tcPr>
          <w:p>
            <w:pPr>
              <w:spacing w:after="0"/>
              <w:rPr>
                <w:sz w:val="14"/>
                <w:szCs w:val="14"/>
                <w:color w:val="auto"/>
              </w:rPr>
            </w:pPr>
          </w:p>
        </w:tc>
        <w:tc>
          <w:tcPr>
            <w:tcW w:w="1660" w:type="dxa"/>
            <w:vAlign w:val="bottom"/>
            <w:gridSpan w:val="3"/>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(Losses) on Hedging</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Adjustment</w:t>
            </w: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Investments</w:t>
            </w:r>
          </w:p>
        </w:tc>
        <w:tc>
          <w:tcPr>
            <w:tcW w:w="14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Activity</w:t>
            </w:r>
          </w:p>
        </w:tc>
        <w:tc>
          <w:tcPr>
            <w:tcW w:w="360" w:type="dxa"/>
            <w:vAlign w:val="bottom"/>
          </w:tcPr>
          <w:p>
            <w:pPr>
              <w:spacing w:after="0"/>
              <w:rPr>
                <w:sz w:val="20"/>
                <w:szCs w:val="20"/>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center"/>
              <w:ind w:left="914"/>
              <w:spacing w:after="0"/>
              <w:rPr>
                <w:sz w:val="20"/>
                <w:szCs w:val="20"/>
                <w:color w:val="auto"/>
              </w:rPr>
            </w:pPr>
            <w:r>
              <w:rPr>
                <w:rFonts w:ascii="Times New Roman" w:cs="Times New Roman" w:eastAsia="Times New Roman" w:hAnsi="Times New Roman"/>
                <w:sz w:val="17"/>
                <w:szCs w:val="17"/>
                <w:color w:val="auto"/>
                <w:w w:val="98"/>
              </w:rPr>
              <w:t>(61)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(32,160)</w:t>
            </w:r>
          </w:p>
        </w:tc>
        <w:tc>
          <w:tcPr>
            <w:tcW w:w="0" w:type="dxa"/>
            <w:vAlign w:val="bottom"/>
          </w:tcPr>
          <w:p>
            <w:pPr>
              <w:spacing w:after="0"/>
              <w:rPr>
                <w:sz w:val="1"/>
                <w:szCs w:val="1"/>
                <w:color w:val="auto"/>
              </w:rPr>
            </w:pPr>
          </w:p>
        </w:tc>
      </w:tr>
      <w:tr>
        <w:trPr>
          <w:trHeight w:val="220"/>
        </w:trPr>
        <w:tc>
          <w:tcPr>
            <w:tcW w:w="4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center"/>
              <w:ind w:left="8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(3,603)</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Amounts reclassified into net income</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934"/>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Balance, November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center"/>
              <w:ind w:left="9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(36,209)</w:t>
            </w: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left="9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November 30,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(33,143)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center"/>
              <w:ind w:left="9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(33,143)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Policy</w:t>
      </w:r>
    </w:p>
    <w:p>
      <w:pPr>
        <w:spacing w:after="0" w:line="24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derive our revenue primarily from software licenses and maintenance, SaaS, and professional services. Our license arrangements generally contain multiple performance obligations, including software maintenance services. Revenue is recognized when a customer obtains control of promised goods or services in an amount that reflects the consideration that we expect to receive in exchange for those goods or services. When an arrangement contains multiple performance obligations, we account for individual performance obligations separately if they are distinct. We recognize revenue through the application of the following steps:</w:t>
      </w:r>
    </w:p>
    <w:p>
      <w:pPr>
        <w:spacing w:after="0" w:line="3" w:lineRule="exact"/>
        <w:rPr>
          <w:sz w:val="20"/>
          <w:szCs w:val="20"/>
          <w:color w:val="auto"/>
        </w:rPr>
      </w:pPr>
    </w:p>
    <w:p>
      <w:pPr>
        <w:ind w:left="200" w:hanging="197"/>
        <w:spacing w:after="0"/>
        <w:tabs>
          <w:tab w:leader="none" w:pos="2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contract(s) with a customer; (ii) identification of the performance obligations in the contract; (iii) determination of the transaction price;</w:t>
      </w:r>
    </w:p>
    <w:p>
      <w:pPr>
        <w:spacing w:after="0" w:line="11" w:lineRule="exact"/>
        <w:rPr>
          <w:rFonts w:ascii="Times New Roman" w:cs="Times New Roman" w:eastAsia="Times New Roman" w:hAnsi="Times New Roman"/>
          <w:sz w:val="17"/>
          <w:szCs w:val="17"/>
          <w:color w:val="auto"/>
        </w:rPr>
      </w:pPr>
    </w:p>
    <w:p>
      <w:pPr>
        <w:ind w:right="320" w:firstLine="3"/>
        <w:spacing w:after="0" w:line="261" w:lineRule="auto"/>
        <w:tabs>
          <w:tab w:leader="none" w:pos="29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performance obligations in the contract; and (v) recognition of revenue when or as we satisfy the performance obligations. Sales taxes collected from customers and remitted to government authorities are excluded from revenue and we do not license our software with a right of return.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Software Licenses</w:t>
      </w:r>
    </w:p>
    <w:p>
      <w:pPr>
        <w:spacing w:after="0" w:line="24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Software licenses are on-premise and fully functional when made available to the customer. As the customer can use and benefit from the license on its own, on-premise software licenses represent distinct performance obligations. Revenue is recognized upfront at the point in time when control is transferred, which is defined as the point in time when the client can use and benefit from the license. Our licenses are sold as perpetual or term licenses, and the arrangements typically contain various combinations of maintenance and services, which are generally accounted for as separate performance obligations. For certain products, we use the residual approach to allocate the transaction price to our software license performance obligations because, due to the pricing of our licenses being highly variable, we do not have an observable SSP for licenses. As required, we evaluate the residual approach estimate compared to all available observable data in order to conclude the estimate is representative of its SSP.</w:t>
      </w:r>
    </w:p>
    <w:p>
      <w:pPr>
        <w:spacing w:after="0" w:line="19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7"/>
          <w:szCs w:val="17"/>
          <w:color w:val="auto"/>
        </w:rPr>
        <w:t>Perpetual licenses are generally invoiced upon execution of the contract and payable within thirty days. Term licenses are generally invoiced in advance on an annual basis over the term of the arrangement, which is typically one to three years. Any difference between the revenue recognized and the amount invoiced to the customer is recognized on our consolidated balance sheets as unbilled receivables until the customer is invoiced, at which point the amount is reclassified to accounts receivable.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Maintenance</w:t>
      </w:r>
    </w:p>
    <w:p>
      <w:pPr>
        <w:spacing w:after="0" w:line="24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Maintenance revenue is made up of technical support, bug fixes, and when-and-if available unspecified software upgrades. As these maintenance services are considered to be a series of distinct services that are substantially the same and have the same duration and measure of progress, we have concluded that they represent one combined performance obligation. Revenue is recognized ratably over the contract period. The SSP of maintenance services is a percentage of the net selling price of the related software license, which has remained within a tight range and is consistent with the stand-alone pricing of subsequent maintenance renewals. Maintenance services are generally invoiced in advance on an annual basis over the term of the arrangement, which is typically one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color w:val="auto"/>
        </w:rPr>
        <w:t>SaaS</w:t>
      </w:r>
    </w:p>
    <w:p>
      <w:pPr>
        <w:spacing w:after="0" w:line="246"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7"/>
          <w:szCs w:val="17"/>
          <w:color w:val="auto"/>
        </w:rPr>
        <w:t>We also offer products via a SaaS model, which is a subscription-based model. Our customers can use hosted software over the contract period without taking possession of it and the cloud services are available to them throughout the entire term, even if they do not use the service. Revenue related to SaaS offerings is recognized ratably over the contract period. The SSP of SaaS performance obligations is determined based upon observable prices in stand-alone SaaS transactions. SaaS arrangements are generally invoiced in advance on a monthly, quarterly, or annual basis over the term of the arrangement, which is typically one to three years.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Professional Services</w:t>
      </w:r>
    </w:p>
    <w:p>
      <w:pPr>
        <w:spacing w:after="0" w:line="246"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color w:val="auto"/>
        </w:rPr>
        <w:t>Professional services revenue primarily includes consulting and customer education services. In general, professional services are distinct performance obligations. Professional services revenue is generally recognized as the services are delivered to the customer. We apply the practical expedient of recognizing revenue upon invoicing for time and materials-based arrangements as the invoiced amount corresponds to the value of the services provided. The SSP of professional services is based upon observable prices in similar transactions using the hourly rates sold in stand-alone services transactions. Professional services are either sold on a time and materials basis or prepaid upfront.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Arrangements with Multiple Performance Obligations</w:t>
      </w:r>
    </w:p>
    <w:p>
      <w:pPr>
        <w:spacing w:after="0" w:line="24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When an arrangement contains multiple performance obligations, we account for individual performance obligations separately if they are distinct. We allocate the transaction price to each performance obligation in a contract based on its relative SSP. Although we do not have a history of offering these elements, prior to allocating the transaction price to each performance obligation, we consider whether the arrangement has any discounts, material rights, or specified future upgrades that may represent additional performance obligations. Determining whether products and services are distinct performance obligations and the determination of the SSP may require significant judgment.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Advertising Costs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Advertising costs are expensed as incurred and were insignificant in the periods presented.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Warranty Costs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make periodic provisions for expected warranty costs. Historically, warranty costs have been insignificant.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 and Loss Contingencies</w:t>
      </w:r>
    </w:p>
    <w:p>
      <w:pPr>
        <w:spacing w:after="0" w:line="246"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7"/>
          <w:szCs w:val="17"/>
          <w:color w:val="auto"/>
        </w:rPr>
        <w:t>We recognize losses for various claims, legal proceedings, and investigations when we believe the potential losses are probable and reasonably estimable. Legal fees and other defense costs are recognized as incurred, and insurance recoveries are recognized when collection is probable.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24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Stock-based compensation expense reflects the fair value of stock-based awards measured at the grant date and recognized over the relevant service period. We estimate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awards, a risk-free interest rate, and dividend yield. We recognize stock-based compensation expense related to options and restricted stock units on a straight-line basis over the service period of the award, which is generally 4 or 5 years for options and 3 or 4 years for restricted stock units, and adjust the expense each period for actual forfeitures. We recognize stock-based compensation expense related to performance stock units and our employee stock purchase plan using an accelerated attribution.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Acquisition-Related Costs</w:t>
      </w:r>
    </w:p>
    <w:p>
      <w:pPr>
        <w:spacing w:after="0" w:line="24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Acquisition-related costs are expensed as incurred and include those costs incurred as a result of a business combination. These costs primarily consist of professional services fees, including third-party legal and valuation-related fees, as well as retention fees and earn-out payments treated as compensation expense. We incurred $5.3 million, $17.1 million, and $4.7 million of acquisition-related costs, which are included in acquisition-related expenses in our consolidated statement of operations for the fiscal years ended November 30,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Restructuring Expenses</w:t>
      </w:r>
    </w:p>
    <w:p>
      <w:pPr>
        <w:spacing w:after="0" w:line="24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We record restructuring expense when management commits to and approves a restructuring plan, the restructuring plan identifies all significant actions, the period of time to complete the restructuring plan indicates that significant changes to the restructuring plan are not likely to occur, and employees who are impacted have been notified of the pending involuntary termination. Restructuring expense is comprised primarily of costs related to employee-related severance and benefits and property abandonment, including future lease commitments, net of any sublease income, and associated leasehold improvements.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46" w:lineRule="exact"/>
        <w:rPr>
          <w:sz w:val="20"/>
          <w:szCs w:val="20"/>
          <w:color w:val="auto"/>
        </w:rPr>
      </w:pPr>
    </w:p>
    <w:p>
      <w:pPr>
        <w:ind w:right="440"/>
        <w:spacing w:after="0" w:line="291" w:lineRule="auto"/>
        <w:rPr>
          <w:sz w:val="20"/>
          <w:szCs w:val="20"/>
          <w:color w:val="auto"/>
        </w:rPr>
      </w:pPr>
      <w:r>
        <w:rPr>
          <w:rFonts w:ascii="Times New Roman" w:cs="Times New Roman" w:eastAsia="Times New Roman" w:hAnsi="Times New Roman"/>
          <w:sz w:val="17"/>
          <w:szCs w:val="17"/>
          <w:color w:val="auto"/>
        </w:rPr>
        <w:t>We provide for deferred income taxes resulting from temporary differences between financial and taxable income. We record valuation allowances to reduce deferred tax assets to the amount that is more likely than not to be realized.</w:t>
      </w:r>
    </w:p>
    <w:p>
      <w:pPr>
        <w:spacing w:after="0" w:line="1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We recognize and measure uncertain tax positions taken or expected to be taken in a tax return utilizing a two-step approach. We first determine if the weight of available evidence indicates that it is more likely than not that the tax position will be sustained on audit, including resolution of any related appeals or litigation processes. We then measure the tax benefit as the largest amount that is more likely than not to be realized upon ultimate settlement. We recognize interest and penalties related to uncertain tax positions in our provision for income taxes on our consolidated statements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2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Operating leases are included in right-of-use ("ROU") lease assets and operating lease liabilities in our consolidated balance sheets. ROU assets represent our right to use an underlying asset for the lease term and lease liabilities represent our obligation to make lease payments arising from the lease. Operating lease ROU assets and operating lease liabilities are recognized based on the present value of the remaining lease payments over the lease term. When a lease does not provide an implicit rate, we use our incremental borrowing rate in determining the present value of lease payments. We use the implicit rate when readily determinable. The operating lease ROU asset excludes lease incentives. The lease terms may include options to extend or terminate the lease when it is reasonably certain that the Company will exercise that option. Lease expense is recognized on a straight-line basis over the lease term. We have lease agreements with lease and non-lease components, which are generally accounted for separately. We have made an accounting policy election not to recognize ROU assets and lease liabilities that arise from short-term leases for facilities and equipment. Instead, we recognize the lease payments in the consolidated statements of operations on a straight-line basis over the lease term and variable lease payments in the period in which the obligation for those payments is incurred.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6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Accounting Standards Update ("ASU") No. 2023-07, </w:t>
      </w:r>
      <w:r>
        <w:rPr>
          <w:rFonts w:ascii="Times New Roman" w:cs="Times New Roman" w:eastAsia="Times New Roman" w:hAnsi="Times New Roman"/>
          <w:sz w:val="17"/>
          <w:szCs w:val="17"/>
          <w:i w:val="1"/>
          <w:iCs w:val="1"/>
          <w:color w:val="auto"/>
        </w:rPr>
        <w:t>Segment Reporting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280): Improvements to Reportable Segment Disclosures </w:t>
      </w:r>
      <w:r>
        <w:rPr>
          <w:rFonts w:ascii="Times New Roman" w:cs="Times New Roman" w:eastAsia="Times New Roman" w:hAnsi="Times New Roman"/>
          <w:sz w:val="17"/>
          <w:szCs w:val="17"/>
          <w:color w:val="auto"/>
        </w:rPr>
        <w:t>("ASU 2023-07"). ASU 2023-07 updates reportable segment disclosure requirements, primarily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enhanced disclosures about significant segment expenses and information used to assess segment performance. ASU 2023-07 did not change how a public entity identifies its operating segments, aggregates those operating segments, or applies the quantitative thresholds to determine its reportable segments. Under ASU 2023-07, public entities with a single reportable segment must apply all of ASU 2023-07's disclosure requirements and the existing segment disclosure and reconciliation requirements in ASC 280 – Segment Reporting on an annual and interim basis. We implemented ASU 2023-07 with retrospective application in the 2025 annual financial statements and have included the additional disclosures in Note 16, </w:t>
      </w:r>
      <w:r>
        <w:rPr>
          <w:rFonts w:ascii="Times New Roman" w:cs="Times New Roman" w:eastAsia="Times New Roman" w:hAnsi="Times New Roman"/>
          <w:sz w:val="17"/>
          <w:szCs w:val="17"/>
          <w:i w:val="1"/>
          <w:iCs w:val="1"/>
          <w:color w:val="auto"/>
        </w:rPr>
        <w:t>Segment Information and Geographic Information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18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("ASU 2023-09")</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ASU 2023-09 is intended to improve the transparency and decision usefulness of income tax disclosures, primarily related to the rate reconciliation and income taxes paid information. ASU 2023-09 is effective for us beginning with the annual period ending November 30, 2026, allowing for adoption on a prospective basis or a retrospective option. The adoption of this standard only impacts disclosures and is not expected to have a material impact on our consolidated financial statements.</w:t>
      </w:r>
    </w:p>
    <w:p>
      <w:pPr>
        <w:spacing w:after="0" w:line="13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 xml:space="preserve">In November 2024, the FASB issued ASU No. 2024-03, </w:t>
      </w:r>
      <w:r>
        <w:rPr>
          <w:rFonts w:ascii="Times New Roman" w:cs="Times New Roman" w:eastAsia="Times New Roman" w:hAnsi="Times New Roman"/>
          <w:sz w:val="17"/>
          <w:szCs w:val="17"/>
          <w:i w:val="1"/>
          <w:iCs w:val="1"/>
          <w:color w:val="auto"/>
        </w:rPr>
        <w:t>Income Statement - Reporting Comprehensive Income - 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220-40)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Disaggregation of Income Statement Expenses </w:t>
      </w:r>
      <w:r>
        <w:rPr>
          <w:rFonts w:ascii="Times New Roman" w:cs="Times New Roman" w:eastAsia="Times New Roman" w:hAnsi="Times New Roman"/>
          <w:sz w:val="17"/>
          <w:szCs w:val="17"/>
          <w:color w:val="auto"/>
        </w:rPr>
        <w:t>("ASU 2024-03"), and in January 2025, the FASB issued ASU No. 2025-01,</w:t>
      </w:r>
      <w:r>
        <w:rPr>
          <w:rFonts w:ascii="Times New Roman" w:cs="Times New Roman" w:eastAsia="Times New Roman" w:hAnsi="Times New Roman"/>
          <w:sz w:val="17"/>
          <w:szCs w:val="17"/>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17"/>
          <w:szCs w:val="17"/>
          <w:color w:val="auto"/>
        </w:rPr>
        <w:t>("ASU 2025-01"). ASU 2024-03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requires additional disclosure of the nature of expenses included in the income statement as well as disclosures about specific types of expenses included in the expense captions presented in the income statement. ASU 2024-03, as clarified by ASU 2025-01, is effective for us for our annual reporting for fiscal 2028 and for interim period reporting beginning in fiscal 2029 on a prospective basis. Both early adoption and retrospective application are permitted. We are currently evaluating the impact that the adoption of these standards will have on our consolidated financial statements and disclosures.</w:t>
      </w:r>
    </w:p>
    <w:p>
      <w:pPr>
        <w:spacing w:after="0" w:line="13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 xml:space="preserve">In September 2025, the FASB issued ASU No. 2025-06, </w:t>
      </w:r>
      <w:r>
        <w:rPr>
          <w:rFonts w:ascii="Times New Roman" w:cs="Times New Roman" w:eastAsia="Times New Roman" w:hAnsi="Times New Roman"/>
          <w:sz w:val="17"/>
          <w:szCs w:val="17"/>
          <w:i w:val="1"/>
          <w:iCs w:val="1"/>
          <w:color w:val="auto"/>
        </w:rPr>
        <w:t>Intangibles - Goodwill and Other - Internal-Use Software (Subtopic 350-40): Targeted Improvements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the Accounting for Internal-Use Software </w:t>
      </w:r>
      <w:r>
        <w:rPr>
          <w:rFonts w:ascii="Times New Roman" w:cs="Times New Roman" w:eastAsia="Times New Roman" w:hAnsi="Times New Roman"/>
          <w:sz w:val="17"/>
          <w:szCs w:val="17"/>
          <w:color w:val="auto"/>
        </w:rPr>
        <w:t>("ASU 2025-06"), which modernizes the accounting for internal-use software. ASU 2025-06 removes all references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software development stages and requires capitalization of software costs when management has committed to the software project and it is probable the software will be completed and perform its intended use. ASU 2025-06 will be effective for us in our first quarter of 2029, and may be adopted on a prospective basis, full retrospective basis, or modified prospective basis with a cumulative-effect adjustment through retained earnings. Early adoption is permitted. We are currently evaluating the timing, method of adoption, and impact of ASU 2025-06 on our consolidated financial statements and disclosures.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Fair Value Measurements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 and Liabilities Measured at Fair Value on a Recurring Basis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fair value measurements within the fair value hierarchy of our financial assets and liabilities at November 30, 2025: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auto"/>
              </w:rPr>
              <w:t>Total Fair</w:t>
            </w:r>
          </w:p>
        </w:tc>
        <w:tc>
          <w:tcPr>
            <w:tcW w:w="3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6"/>
          </w:tcPr>
          <w:p>
            <w:pPr>
              <w:jc w:val="center"/>
              <w:ind w:left="794"/>
              <w:spacing w:after="0"/>
              <w:rPr>
                <w:sz w:val="20"/>
                <w:szCs w:val="20"/>
                <w:color w:val="auto"/>
              </w:rPr>
            </w:pPr>
            <w:r>
              <w:rPr>
                <w:rFonts w:ascii="Times New Roman" w:cs="Times New Roman" w:eastAsia="Times New Roman" w:hAnsi="Times New Roman"/>
                <w:sz w:val="17"/>
                <w:szCs w:val="17"/>
                <w:color w:val="auto"/>
              </w:rPr>
              <w:t>Fair Value Measurements Using</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8"/>
              </w:rPr>
              <w:t>Value</w:t>
            </w:r>
          </w:p>
        </w:tc>
        <w:tc>
          <w:tcPr>
            <w:tcW w:w="3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Level 1</w:t>
            </w:r>
          </w:p>
        </w:tc>
        <w:tc>
          <w:tcPr>
            <w:tcW w:w="32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Level 2</w:t>
            </w:r>
          </w:p>
        </w:tc>
        <w:tc>
          <w:tcPr>
            <w:tcW w:w="380" w:type="dxa"/>
            <w:vAlign w:val="bottom"/>
          </w:tcPr>
          <w:p>
            <w:pPr>
              <w:spacing w:after="0"/>
              <w:rPr>
                <w:sz w:val="20"/>
                <w:szCs w:val="20"/>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0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center"/>
              <w:ind w:left="73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derivatives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center"/>
              <w:ind w:left="814"/>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fair value measurements within the fair value hierarchy of our financial assets and liabilities at November 30, 2024:</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auto"/>
              </w:rPr>
              <w:t>Total Fair</w:t>
            </w:r>
          </w:p>
        </w:tc>
        <w:tc>
          <w:tcPr>
            <w:tcW w:w="3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6"/>
          </w:tcPr>
          <w:p>
            <w:pPr>
              <w:jc w:val="center"/>
              <w:ind w:left="794"/>
              <w:spacing w:after="0"/>
              <w:rPr>
                <w:sz w:val="20"/>
                <w:szCs w:val="20"/>
                <w:color w:val="auto"/>
              </w:rPr>
            </w:pPr>
            <w:r>
              <w:rPr>
                <w:rFonts w:ascii="Times New Roman" w:cs="Times New Roman" w:eastAsia="Times New Roman" w:hAnsi="Times New Roman"/>
                <w:sz w:val="17"/>
                <w:szCs w:val="17"/>
                <w:color w:val="auto"/>
              </w:rPr>
              <w:t>Fair Value Measurements Using</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8"/>
              </w:rPr>
              <w:t>Value</w:t>
            </w:r>
          </w:p>
        </w:tc>
        <w:tc>
          <w:tcPr>
            <w:tcW w:w="3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Level 1</w:t>
            </w:r>
          </w:p>
        </w:tc>
        <w:tc>
          <w:tcPr>
            <w:tcW w:w="32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Level 2</w:t>
            </w:r>
          </w:p>
        </w:tc>
        <w:tc>
          <w:tcPr>
            <w:tcW w:w="380" w:type="dxa"/>
            <w:vAlign w:val="bottom"/>
          </w:tcPr>
          <w:p>
            <w:pPr>
              <w:spacing w:after="0"/>
              <w:rPr>
                <w:sz w:val="20"/>
                <w:szCs w:val="20"/>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0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derivatives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939"/>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7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49" w:name="page50"/>
    <w:bookmarkEnd w:id="49"/>
    <w:p>
      <w:pPr>
        <w:jc w:val="both"/>
        <w:ind w:right="220"/>
        <w:spacing w:after="0" w:line="272" w:lineRule="auto"/>
        <w:rPr>
          <w:sz w:val="20"/>
          <w:szCs w:val="20"/>
          <w:color w:val="auto"/>
        </w:rPr>
      </w:pPr>
      <w:r>
        <w:rPr>
          <w:rFonts w:ascii="Times New Roman" w:cs="Times New Roman" w:eastAsia="Times New Roman" w:hAnsi="Times New Roman"/>
          <w:sz w:val="17"/>
          <w:szCs w:val="17"/>
          <w:color w:val="auto"/>
        </w:rPr>
        <w:t>For financial assets and liabilities that utilize Level 1 and Level 2 inputs, we utilize both direct and indirect observable price quotes, including price quotes and foreign exchange forward prices. Money market funds are measured at fair value using the quoted market prices in active markets at the reporting date. Foreign exchange derivative contracts are valued using quoted forward foreign exchange prices at the reporting date.</w:t>
      </w:r>
    </w:p>
    <w:p>
      <w:pPr>
        <w:spacing w:after="0" w:line="18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color w:val="auto"/>
        </w:rPr>
        <w:t xml:space="preserve">We classified contingent consideration related to the Nuclia acquisition, which occurred in the third fiscal quarter of 2025, within Level 3 of the fair value hierarchy because the fair value is derived using significant unobservable inputs. We utilized the Monte Carlo simulation method to estimate the fair value of the contingent liability as of the reporting date. The fair value of the contingent consideration is primarily dependent on the revenue of the acquired business in fiscal 2026, will be remeasured each reporting period, and any required adjustment will be recorded to acquisition-related expenses in our consolidated statement of operations. See Note 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for additional details.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reflects the activity for our contingent consideration obligation measured at fair value using Level 3 inputs for the fiscal year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30, 2025: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
        </w:trPr>
        <w:tc>
          <w:tcPr>
            <w:tcW w:w="9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1, 2024</w:t>
            </w: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9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Acquisition date fair value of contingent consideration</w:t>
            </w:r>
          </w:p>
        </w:tc>
        <w:tc>
          <w:tcPr>
            <w:tcW w:w="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w:t>
            </w:r>
          </w:p>
        </w:tc>
      </w:tr>
      <w:tr>
        <w:trPr>
          <w:trHeight w:val="238"/>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November 30, 2025</w:t>
            </w: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transfers between levels of the fair value measurement hierarchy during the fiscal years ended November 30, 2025 and 2024.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 and Liabilities Not Carried at Fair Value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the Convertible Senior Notes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fair value and carrying value of the Notes: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40" w:type="dxa"/>
            <w:vAlign w:val="bottom"/>
            <w:gridSpan w:val="5"/>
          </w:tcPr>
          <w:p>
            <w:pPr>
              <w:ind w:left="740"/>
              <w:spacing w:after="0"/>
              <w:rPr>
                <w:sz w:val="20"/>
                <w:szCs w:val="20"/>
                <w:color w:val="auto"/>
              </w:rPr>
            </w:pPr>
            <w:r>
              <w:rPr>
                <w:rFonts w:ascii="Times New Roman" w:cs="Times New Roman" w:eastAsia="Times New Roman" w:hAnsi="Times New Roman"/>
                <w:sz w:val="17"/>
                <w:szCs w:val="17"/>
                <w:color w:val="auto"/>
              </w:rPr>
              <w:t>November 30, 2025</w:t>
            </w:r>
          </w:p>
        </w:tc>
        <w:tc>
          <w:tcPr>
            <w:tcW w:w="180" w:type="dxa"/>
            <w:vAlign w:val="bottom"/>
          </w:tcPr>
          <w:p>
            <w:pPr>
              <w:spacing w:after="0"/>
              <w:rPr>
                <w:sz w:val="19"/>
                <w:szCs w:val="19"/>
                <w:color w:val="auto"/>
              </w:rPr>
            </w:pPr>
          </w:p>
        </w:tc>
        <w:tc>
          <w:tcPr>
            <w:tcW w:w="3040" w:type="dxa"/>
            <w:vAlign w:val="bottom"/>
            <w:gridSpan w:val="4"/>
          </w:tcPr>
          <w:p>
            <w:pPr>
              <w:ind w:left="740"/>
              <w:spacing w:after="0"/>
              <w:rPr>
                <w:sz w:val="20"/>
                <w:szCs w:val="20"/>
                <w:color w:val="auto"/>
              </w:rPr>
            </w:pPr>
            <w:r>
              <w:rPr>
                <w:rFonts w:ascii="Times New Roman" w:cs="Times New Roman" w:eastAsia="Times New Roman" w:hAnsi="Times New Roman"/>
                <w:sz w:val="17"/>
                <w:szCs w:val="17"/>
                <w:color w:val="auto"/>
              </w:rPr>
              <w:t>November 30, 2024</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Carrying Value</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Fair Value</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Carrying Value</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Fair Value</w:t>
            </w:r>
          </w:p>
        </w:tc>
      </w:tr>
      <w:tr>
        <w:trPr>
          <w:trHeight w:val="213"/>
        </w:trPr>
        <w:tc>
          <w:tcPr>
            <w:tcW w:w="470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Convertible senior notes due 2026</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359,163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357,300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356,946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449,094</w:t>
            </w:r>
          </w:p>
        </w:tc>
      </w:tr>
      <w:tr>
        <w:trPr>
          <w:trHeight w:val="220"/>
        </w:trPr>
        <w:tc>
          <w:tcPr>
            <w:tcW w:w="470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Convertible senior notes due 2030</w:t>
            </w:r>
            <w:r>
              <w:rPr>
                <w:rFonts w:ascii="Times New Roman" w:cs="Times New Roman" w:eastAsia="Times New Roman" w:hAnsi="Times New Roman"/>
                <w:sz w:val="22"/>
                <w:szCs w:val="22"/>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441,186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452,295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439,321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550,827</w:t>
            </w: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800,349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809,595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796,267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999,921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right="40" w:firstLine="3"/>
        <w:spacing w:after="0" w:line="269" w:lineRule="auto"/>
        <w:tabs>
          <w:tab w:leader="none" w:pos="19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the convertible senior notes due 2026 (the "2026 Notes"), is reflected net of $0.8 million and $3.1 million of unamortized debt issuance costs as of November 30, 2025 and 2024, respectively.</w:t>
      </w:r>
    </w:p>
    <w:p>
      <w:pPr>
        <w:spacing w:after="0" w:line="1" w:lineRule="exact"/>
        <w:rPr>
          <w:rFonts w:ascii="Times New Roman" w:cs="Times New Roman" w:eastAsia="Times New Roman" w:hAnsi="Times New Roman"/>
          <w:sz w:val="14"/>
          <w:szCs w:val="14"/>
          <w:color w:val="auto"/>
        </w:rPr>
      </w:pPr>
    </w:p>
    <w:p>
      <w:pPr>
        <w:ind w:right="300" w:firstLine="3"/>
        <w:spacing w:after="0" w:line="277" w:lineRule="auto"/>
        <w:tabs>
          <w:tab w:leader="none" w:pos="19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the convertible senior notes due 2030 (the "2030 Notes"), is reflected net of $8.8 million and $10.7 million of unamortized debt issuance costs as of November 30, 2025 and 2024, respectively.</w:t>
      </w:r>
    </w:p>
    <w:p>
      <w:pPr>
        <w:spacing w:after="0" w:line="187"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color w:val="auto"/>
        </w:rPr>
        <w:t>The fair value of the Notes is based on the quoted prices in an over-the-counter market on the last trading day of the reporting period and classified within Level 2 in the fair value hierarchy.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Other Financial Assets and Liabilities</w:t>
      </w:r>
    </w:p>
    <w:p>
      <w:pPr>
        <w:spacing w:after="0" w:line="246" w:lineRule="exact"/>
        <w:rPr>
          <w:sz w:val="20"/>
          <w:szCs w:val="20"/>
          <w:color w:val="auto"/>
        </w:rPr>
      </w:pPr>
    </w:p>
    <w:p>
      <w:pPr>
        <w:ind w:right="380"/>
        <w:spacing w:after="0" w:line="291" w:lineRule="auto"/>
        <w:rPr>
          <w:sz w:val="20"/>
          <w:szCs w:val="20"/>
          <w:color w:val="auto"/>
        </w:rPr>
      </w:pPr>
      <w:r>
        <w:rPr>
          <w:rFonts w:ascii="Times New Roman" w:cs="Times New Roman" w:eastAsia="Times New Roman" w:hAnsi="Times New Roman"/>
          <w:sz w:val="17"/>
          <w:szCs w:val="17"/>
          <w:color w:val="auto"/>
        </w:rPr>
        <w:t>The carrying amounts of other financial assets and liabilities including cash and cash equivalents, accounts receivable, unbilled accounts receivable, accounts payable, and accrued liabilities approximate their respective fair values due to their immediate or short-term maturities.</w:t>
      </w:r>
    </w:p>
    <w:p>
      <w:pPr>
        <w:spacing w:after="0" w:line="173"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7"/>
          <w:szCs w:val="17"/>
          <w:color w:val="auto"/>
        </w:rPr>
        <w:t>Borrowings under our revolving credit facility are recorded at carrying value, which approximates fair value due to the short maturity and frequent nature of such borrowings and repayments. The Company considers this a Level 2 input.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8"/>
        </w:trPr>
        <w:tc>
          <w:tcPr>
            <w:tcW w:w="7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3: Property and Equipment</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0"/>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consists of the following:</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November 30, 2025</w:t>
            </w:r>
          </w:p>
        </w:tc>
        <w:tc>
          <w:tcPr>
            <w:tcW w:w="180" w:type="dxa"/>
            <w:vAlign w:val="bottom"/>
          </w:tcPr>
          <w:p>
            <w:pPr>
              <w:spacing w:after="0"/>
              <w:rPr>
                <w:sz w:val="24"/>
                <w:szCs w:val="24"/>
                <w:color w:val="auto"/>
              </w:rPr>
            </w:pPr>
          </w:p>
        </w:tc>
        <w:tc>
          <w:tcPr>
            <w:tcW w:w="17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November 30, 2024</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48,469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45,451</w:t>
            </w: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leasehold improvements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9,197</w:t>
            </w:r>
          </w:p>
        </w:tc>
      </w:tr>
      <w:tr>
        <w:trPr>
          <w:trHeight w:val="22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w:t>
            </w:r>
          </w:p>
        </w:tc>
      </w:tr>
      <w:tr>
        <w:trPr>
          <w:trHeight w:val="22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Capitalized software development costs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gross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58,377</w:t>
            </w:r>
          </w:p>
        </w:tc>
      </w:tr>
      <w:tr>
        <w:trPr>
          <w:trHeight w:val="21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(44,631)</w:t>
            </w:r>
          </w:p>
        </w:tc>
      </w:tr>
      <w:tr>
        <w:trPr>
          <w:trHeight w:val="23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spacing w:after="0" w:line="291" w:lineRule="auto"/>
        <w:rPr>
          <w:sz w:val="20"/>
          <w:szCs w:val="20"/>
          <w:color w:val="auto"/>
        </w:rPr>
      </w:pPr>
      <w:r>
        <w:rPr>
          <w:rFonts w:ascii="Times New Roman" w:cs="Times New Roman" w:eastAsia="Times New Roman" w:hAnsi="Times New Roman"/>
          <w:sz w:val="17"/>
          <w:szCs w:val="17"/>
          <w:color w:val="auto"/>
        </w:rPr>
        <w:t>Depreciation and amortization expense related to property and equipment was $6.2 million, $6.4 million, and $6.3 million for the years ended November 30, 2025, 2024, and 2023,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Intangible Assets and Goodwill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are comprised of the following significant classes: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November 30, 2025</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November 30, 2024</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54"/>
              <w:spacing w:after="0" w:line="168" w:lineRule="exact"/>
              <w:rPr>
                <w:sz w:val="20"/>
                <w:szCs w:val="20"/>
                <w:color w:val="auto"/>
              </w:rPr>
            </w:pPr>
            <w:r>
              <w:rPr>
                <w:rFonts w:ascii="Times New Roman" w:cs="Times New Roman" w:eastAsia="Times New Roman" w:hAnsi="Times New Roman"/>
                <w:sz w:val="17"/>
                <w:szCs w:val="17"/>
                <w:color w:val="auto"/>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auto"/>
              </w:rPr>
              <w:t>Accumulated</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color w:val="auto"/>
              </w:rPr>
              <w:t>Net Book</w:t>
            </w:r>
          </w:p>
        </w:tc>
        <w:tc>
          <w:tcPr>
            <w:tcW w:w="220" w:type="dxa"/>
            <w:vAlign w:val="bottom"/>
          </w:tcPr>
          <w:p>
            <w:pPr>
              <w:spacing w:after="0"/>
              <w:rPr>
                <w:sz w:val="14"/>
                <w:szCs w:val="14"/>
                <w:color w:val="auto"/>
              </w:rPr>
            </w:pPr>
          </w:p>
        </w:tc>
        <w:tc>
          <w:tcPr>
            <w:tcW w:w="1060" w:type="dxa"/>
            <w:vAlign w:val="bottom"/>
          </w:tcPr>
          <w:p>
            <w:pPr>
              <w:jc w:val="center"/>
              <w:ind w:right="134"/>
              <w:spacing w:after="0" w:line="168" w:lineRule="exact"/>
              <w:rPr>
                <w:sz w:val="20"/>
                <w:szCs w:val="20"/>
                <w:color w:val="auto"/>
              </w:rPr>
            </w:pPr>
            <w:r>
              <w:rPr>
                <w:rFonts w:ascii="Times New Roman" w:cs="Times New Roman" w:eastAsia="Times New Roman" w:hAnsi="Times New Roman"/>
                <w:sz w:val="17"/>
                <w:szCs w:val="17"/>
                <w:color w:val="auto"/>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auto"/>
              </w:rPr>
              <w:t>Accumulated</w:t>
            </w:r>
          </w:p>
        </w:tc>
        <w:tc>
          <w:tcPr>
            <w:tcW w:w="200" w:type="dxa"/>
            <w:vAlign w:val="bottom"/>
          </w:tcPr>
          <w:p>
            <w:pPr>
              <w:spacing w:after="0"/>
              <w:rPr>
                <w:sz w:val="14"/>
                <w:szCs w:val="14"/>
                <w:color w:val="auto"/>
              </w:rPr>
            </w:pPr>
          </w:p>
        </w:tc>
        <w:tc>
          <w:tcPr>
            <w:tcW w:w="106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rPr>
              <w:t>Net Book</w:t>
            </w: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34"/>
              <w:spacing w:after="0" w:line="174" w:lineRule="exact"/>
              <w:rPr>
                <w:sz w:val="20"/>
                <w:szCs w:val="20"/>
                <w:color w:val="auto"/>
              </w:rPr>
            </w:pPr>
            <w:r>
              <w:rPr>
                <w:rFonts w:ascii="Times New Roman" w:cs="Times New Roman" w:eastAsia="Times New Roman" w:hAnsi="Times New Roman"/>
                <w:sz w:val="17"/>
                <w:szCs w:val="17"/>
                <w:color w:val="auto"/>
              </w:rPr>
              <w:t>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4"/>
              <w:spacing w:after="0" w:line="174" w:lineRule="exact"/>
              <w:rPr>
                <w:sz w:val="20"/>
                <w:szCs w:val="20"/>
                <w:color w:val="auto"/>
              </w:rPr>
            </w:pPr>
            <w:r>
              <w:rPr>
                <w:rFonts w:ascii="Times New Roman" w:cs="Times New Roman" w:eastAsia="Times New Roman" w:hAnsi="Times New Roman"/>
                <w:sz w:val="17"/>
                <w:szCs w:val="17"/>
                <w:color w:val="auto"/>
                <w:w w:val="99"/>
              </w:rPr>
              <w:t>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9"/>
                <w:szCs w:val="19"/>
                <w:color w:val="auto"/>
              </w:rPr>
            </w:pPr>
          </w:p>
        </w:tc>
        <w:tc>
          <w:tcPr>
            <w:tcW w:w="10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Amortization</w:t>
            </w:r>
          </w:p>
        </w:tc>
        <w:tc>
          <w:tcPr>
            <w:tcW w:w="20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Value</w:t>
            </w:r>
          </w:p>
        </w:tc>
        <w:tc>
          <w:tcPr>
            <w:tcW w:w="220" w:type="dxa"/>
            <w:vAlign w:val="bottom"/>
          </w:tcPr>
          <w:p>
            <w:pPr>
              <w:spacing w:after="0"/>
              <w:rPr>
                <w:sz w:val="19"/>
                <w:szCs w:val="19"/>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Amortization</w:t>
            </w:r>
          </w:p>
        </w:tc>
        <w:tc>
          <w:tcPr>
            <w:tcW w:w="200" w:type="dxa"/>
            <w:vAlign w:val="bottom"/>
          </w:tcPr>
          <w:p>
            <w:pPr>
              <w:spacing w:after="0"/>
              <w:rPr>
                <w:sz w:val="19"/>
                <w:szCs w:val="19"/>
                <w:color w:val="auto"/>
              </w:rPr>
            </w:pPr>
          </w:p>
        </w:tc>
        <w:tc>
          <w:tcPr>
            <w:tcW w:w="106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Purchased technology</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403,375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(251,491)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151,884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188,736</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Customer-related</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777,930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(377,368)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400,562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777,608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(282,384)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495,224</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Trademarks and trade names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39,611</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1,258,416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(674,388)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584,028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1,253,719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(530,148)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723,571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color w:val="auto"/>
        </w:rPr>
        <w:t>We amortize intangible assets assuming no expected residual value. Amortization expense related to these intangible assets was $145.5 million, $94.5 million, and $96.6 million in fiscal years 2025, 2024, and 2023,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amortization expense for intangible assets as of November 30, 2025 is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
        </w:trPr>
        <w:tc>
          <w:tcPr>
            <w:tcW w:w="9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68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137,265</w:t>
            </w:r>
          </w:p>
        </w:tc>
      </w:tr>
      <w:tr>
        <w:trPr>
          <w:trHeight w:val="220"/>
        </w:trPr>
        <w:tc>
          <w:tcPr>
            <w:tcW w:w="9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112,166</w:t>
            </w:r>
          </w:p>
        </w:tc>
      </w:tr>
      <w:tr>
        <w:trPr>
          <w:trHeight w:val="22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100,582</w:t>
            </w:r>
          </w:p>
        </w:tc>
      </w:tr>
      <w:tr>
        <w:trPr>
          <w:trHeight w:val="220"/>
        </w:trPr>
        <w:tc>
          <w:tcPr>
            <w:tcW w:w="9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100,582</w:t>
            </w:r>
          </w:p>
        </w:tc>
      </w:tr>
      <w:tr>
        <w:trPr>
          <w:trHeight w:val="22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72,580</w:t>
            </w:r>
          </w:p>
        </w:tc>
      </w:tr>
      <w:tr>
        <w:trPr>
          <w:trHeight w:val="220"/>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60,853</w:t>
            </w:r>
          </w:p>
        </w:tc>
      </w:tr>
      <w:tr>
        <w:trPr>
          <w:trHeight w:val="238"/>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584,028</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8"/>
        </w:trPr>
        <w:tc>
          <w:tcPr>
            <w:tcW w:w="7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0"/>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Changes in the carrying amount of goodwill for fiscal years 2025 and 2024 are as follows:</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78"/>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November 30, 2025</w:t>
            </w:r>
          </w:p>
        </w:tc>
        <w:tc>
          <w:tcPr>
            <w:tcW w:w="180" w:type="dxa"/>
            <w:vAlign w:val="bottom"/>
          </w:tcPr>
          <w:p>
            <w:pPr>
              <w:spacing w:after="0"/>
              <w:rPr>
                <w:sz w:val="24"/>
                <w:szCs w:val="24"/>
                <w:color w:val="auto"/>
              </w:rPr>
            </w:pPr>
          </w:p>
        </w:tc>
        <w:tc>
          <w:tcPr>
            <w:tcW w:w="17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November 30, 2024</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beginning of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1,292,177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832,101</w:t>
            </w:r>
          </w:p>
        </w:tc>
      </w:tr>
      <w:tr>
        <w:trPr>
          <w:trHeight w:val="220"/>
        </w:trPr>
        <w:tc>
          <w:tcPr>
            <w:tcW w:w="73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Additions from business combinations</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459,459</w:t>
            </w:r>
          </w:p>
        </w:tc>
      </w:tr>
      <w:tr>
        <w:trPr>
          <w:trHeight w:val="220"/>
        </w:trPr>
        <w:tc>
          <w:tcPr>
            <w:tcW w:w="73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Measurement period adjustments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and other</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Translation adjustments</w:t>
            </w:r>
          </w:p>
        </w:tc>
        <w:tc>
          <w:tcPr>
            <w:tcW w:w="18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3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end of year</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1,309,054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1,292,177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40" w:hanging="137"/>
        <w:spacing w:after="0"/>
        <w:tabs>
          <w:tab w:leader="none" w:pos="14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The additions to goodwill during fiscal years 2025 and 2024 are related to the acquisitions of Nuclia and ShareFile, respectively. Refer to Note 5, </w:t>
      </w:r>
      <w:r>
        <w:rPr>
          <w:rFonts w:ascii="Times New Roman" w:cs="Times New Roman" w:eastAsia="Times New Roman" w:hAnsi="Times New Roman"/>
          <w:sz w:val="13"/>
          <w:szCs w:val="13"/>
          <w:i w:val="1"/>
          <w:iCs w:val="1"/>
          <w:color w:val="auto"/>
        </w:rPr>
        <w:t>Business Combinations</w:t>
      </w:r>
      <w:r>
        <w:rPr>
          <w:rFonts w:ascii="Times New Roman" w:cs="Times New Roman" w:eastAsia="Times New Roman" w:hAnsi="Times New Roman"/>
          <w:sz w:val="13"/>
          <w:szCs w:val="13"/>
          <w:color w:val="auto"/>
        </w:rPr>
        <w:t xml:space="preserve"> for further information.</w:t>
      </w:r>
    </w:p>
    <w:p>
      <w:pPr>
        <w:ind w:left="140" w:hanging="137"/>
        <w:spacing w:after="0"/>
        <w:tabs>
          <w:tab w:leader="none" w:pos="14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Represents measurement period adjustments related to ShareFile during fiscal year 2025 and MarkLogic during fiscal year 2024. Refer to Note 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for further information.</w:t>
      </w:r>
    </w:p>
    <w:p>
      <w:pPr>
        <w:spacing w:after="0" w:line="228" w:lineRule="exact"/>
        <w:rPr>
          <w:sz w:val="20"/>
          <w:szCs w:val="20"/>
          <w:color w:val="auto"/>
        </w:rPr>
      </w:pPr>
    </w:p>
    <w:p>
      <w:pPr>
        <w:ind w:right="420"/>
        <w:spacing w:after="0" w:line="291" w:lineRule="auto"/>
        <w:rPr>
          <w:sz w:val="20"/>
          <w:szCs w:val="20"/>
          <w:color w:val="auto"/>
        </w:rPr>
      </w:pPr>
      <w:r>
        <w:rPr>
          <w:rFonts w:ascii="Times New Roman" w:cs="Times New Roman" w:eastAsia="Times New Roman" w:hAnsi="Times New Roman"/>
          <w:sz w:val="17"/>
          <w:szCs w:val="17"/>
          <w:color w:val="auto"/>
        </w:rPr>
        <w:t>We performed a quantitative assessment as of October 31, 2025 and concluded that there was no impairment of goodwill during fiscal year 2025. We did not recognize goodwill impairment charges during any of the years presented.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Business Combinations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Nuclia Acquisition</w:t>
      </w:r>
    </w:p>
    <w:p>
      <w:pPr>
        <w:spacing w:after="0" w:line="24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On June 30, 2025, we completed the acquisition of Nuclia, an innovator in agentic Retrieval-Augmented Generation AI solutions, for a purchase price with an aggregate fair value of $21.4 million, which was primarily allocated to purchased technology and goodwill. The purchase consideration consisted of $20.3 million of cash paid at closing and contingent consideration with an estimated fair value of $1.1 million.</w:t>
      </w:r>
    </w:p>
    <w:p>
      <w:pPr>
        <w:spacing w:after="0" w:line="189"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color w:val="auto"/>
        </w:rPr>
        <w:t>We are required to pay contingent earn-out consideration of up to $5.0 million to former Nuclia shareholders, based on the achievement of certain revenue targets during fiscal year 2026. The fair value of the contingent consideration was determined to be $1.1 million as of the acquisition date.</w:t>
      </w:r>
    </w:p>
    <w:p>
      <w:pPr>
        <w:spacing w:after="0" w:line="173"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color w:val="auto"/>
        </w:rPr>
        <w:t>We have not disclosed the amount of revenues and earnings of Nuclia since acquisition, nor pro forma financial information, as those amounts are not significant to our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ShareFile Acquisition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October 31, 2024, we completed the acquisition of ShareFile from Cloud Software Group, Inc. and its subsidiaries for an aggregate purchase price of</w:t>
      </w:r>
    </w:p>
    <w:p>
      <w:pPr>
        <w:spacing w:after="0" w:line="3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$875.0 million in cash, subject to a $25.0 million working capital credit and certain customary adjustments, including $1.2 million paid in fiscal 2025. We funded the acquisition through $730.0 million in borrowings under our existing revolving credit facility and cash on hand.</w:t>
      </w:r>
    </w:p>
    <w:p>
      <w:pPr>
        <w:spacing w:after="0" w:line="17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7"/>
          <w:szCs w:val="17"/>
          <w:color w:val="auto"/>
        </w:rPr>
        <w:t>The acquisition consideration for ShareFile has been allocated to ShareFile's assets and assumed liabilities based on estimated fair values. The excess of total consideration over the assets and assumed liabilities was recorded to goodwill.</w:t>
      </w:r>
    </w:p>
    <w:p>
      <w:pPr>
        <w:spacing w:after="0" w:line="17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color w:val="auto"/>
        </w:rPr>
        <w:t>During fiscal year 2025, the measurement period adjustments were completed, which resulted in a $1.5 million increase in goodwill, primarily related to customer relationships and net working capital adjustments. The purchase price allocation is now complete.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6"/>
        </w:trPr>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The allocation of the purchase price is as follows: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27"/>
        </w:trPr>
        <w:tc>
          <w:tcPr>
            <w:tcW w:w="8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Purchase Price</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Allocation</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Life</w:t>
            </w:r>
          </w:p>
        </w:tc>
      </w:tr>
      <w:tr>
        <w:trPr>
          <w:trHeight w:val="21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working capital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0"/>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Purchased technology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7 years</w:t>
            </w:r>
          </w:p>
        </w:tc>
      </w:tr>
      <w:tr>
        <w:trPr>
          <w:trHeight w:val="220"/>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 years</w:t>
            </w: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7 years</w:t>
            </w:r>
          </w:p>
        </w:tc>
      </w:tr>
      <w:tr>
        <w:trPr>
          <w:trHeight w:val="220"/>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23,078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(96,255)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460,972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853,897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The fair value of the intangible assets was estimated using the income approach in which the after-tax cash flows are discounted to present value. The cash flows are based on estimates used to value the acquisition, and the discount rates applied were benchmarked with reference to the implied rate of return from the transaction model as well as the weighted average cost of capital. The valuation assumptions take into consideration our estimates of customer attrition, technology obsolescence, and revenue growth projections.</w:t>
      </w:r>
    </w:p>
    <w:p>
      <w:pPr>
        <w:spacing w:after="0" w:line="194"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7"/>
          <w:szCs w:val="17"/>
          <w:color w:val="auto"/>
        </w:rPr>
        <w:t>We recorded the excess of the purchase price over the identified tangible and intangible assets as goodwill. We believe that the investment value of the future enhancement of our product and solution offerings created as a result of this acquisition has principally contributed to a purchase price that resulted in the recognition of $461.0 million of goodwill, of which a portion is deductible for tax purposes.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Acquisition-related transaction costs (e.g., legal, due diligence, valuation, and other professional fees) and certain acquisition restructuring and related charges are not included as a component of consideration transferred but are required to be expensed as incurred. During the fiscal years ended November 30, 2025, and 2024, we incurred approximately $3.8 million and $15.6 million, respectively, of acquisition-related costs, which are included in acquisition-related expenses on our consolidated statement of operations.</w:t>
      </w:r>
    </w:p>
    <w:p>
      <w:pPr>
        <w:spacing w:after="0" w:line="19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amount of revenue of ShareFile included in our consolidated statements of operations during the fiscal years ended November 30, 2025 and 2024, was approximately $261.6 million and $21.1 million, respectively. We determined that disclosing the amount of ShareFile related earnings included in the consolidated statement of operations is impracticable, as the operations of ShareFile were integrated into the operations of the Company from the date of acquisition.</w:t>
      </w:r>
    </w:p>
    <w:p>
      <w:pPr>
        <w:spacing w:after="0" w:line="189"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In connection and concurrent with the ShareFile acquisition, we entered into a Transition Services Agreement ("TSA") with Cloud Software Group, Inc. for a period of six months from the date of acquisition, with the option to extend the TSA beyond this period for certain services. The TSA was terminated during the second quarter of fiscal year 2025 and expenses related to the TSA were not significant during the fiscal years ended November 30, 2025 and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Unaudited Pro Forma Information</w:t>
      </w:r>
    </w:p>
    <w:p>
      <w:pPr>
        <w:spacing w:after="0" w:line="24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The following unaudited pro forma financial information presents the combined results of operations of Progress and ShareFile as if the acquisition had occurred on December 1, 2022, after giving effect to certain pro forma adjustments. The pro forma adjustments reflected herein include only those adjustments that are directly attributable to the ShareFile acquisition and factually supportable. These pro forma adjustments include: (i) a net increase in amortization expense to record amortization expense relating to the $464.0 million of acquired identifiable intangible assets, (ii) an increase in interest expense to record interest for the periods presented as a result of drawing down our revolving line of credit in connection with the acquisition, (iii) an increase in acquisition-related expenses in connection with the acquisition that were not included in the purchase price, (iv) additional expense related to the TSA entered into between Progress and Cloud Software Group, Inc., and (v) the income tax effect of the adjustments made at the statutory tax rate of 24.0%.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3" w:name="page54"/>
    <w:bookmarkEnd w:id="53"/>
    <w:p>
      <w:pPr>
        <w:ind w:right="760"/>
        <w:spacing w:after="0" w:line="291" w:lineRule="auto"/>
        <w:rPr>
          <w:sz w:val="20"/>
          <w:szCs w:val="20"/>
          <w:color w:val="auto"/>
        </w:rPr>
      </w:pPr>
      <w:r>
        <w:rPr>
          <w:rFonts w:ascii="Times New Roman" w:cs="Times New Roman" w:eastAsia="Times New Roman" w:hAnsi="Times New Roman"/>
          <w:sz w:val="17"/>
          <w:szCs w:val="17"/>
          <w:color w:val="auto"/>
        </w:rPr>
        <w:t>The unaudited pro forma financial information does not reflect any adjustments for anticipated expense savings resulting from the acquisition and is not necessarily indicative of the operating results that would have actually occurred had the transaction been consummated on December 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Pro Forma Fiscal Year</w:t>
            </w:r>
          </w:p>
        </w:tc>
        <w:tc>
          <w:tcPr>
            <w:tcW w:w="140" w:type="dxa"/>
            <w:vAlign w:val="bottom"/>
          </w:tcPr>
          <w:p>
            <w:pPr>
              <w:spacing w:after="0"/>
              <w:rPr>
                <w:sz w:val="17"/>
                <w:szCs w:val="17"/>
                <w:color w:val="auto"/>
              </w:rPr>
            </w:pPr>
          </w:p>
        </w:tc>
        <w:tc>
          <w:tcPr>
            <w:tcW w:w="17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w w:val="99"/>
              </w:rPr>
              <w:t>Pro Forma Fiscal Year</w:t>
            </w:r>
          </w:p>
        </w:tc>
      </w:tr>
      <w:tr>
        <w:trPr>
          <w:trHeight w:val="176"/>
        </w:trPr>
        <w:tc>
          <w:tcPr>
            <w:tcW w:w="7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7"/>
                <w:szCs w:val="17"/>
                <w:color w:val="auto"/>
              </w:rPr>
              <w:t>Ended November 30,</w:t>
            </w:r>
          </w:p>
        </w:tc>
        <w:tc>
          <w:tcPr>
            <w:tcW w:w="140" w:type="dxa"/>
            <w:vAlign w:val="bottom"/>
          </w:tcPr>
          <w:p>
            <w:pPr>
              <w:spacing w:after="0"/>
              <w:rPr>
                <w:sz w:val="15"/>
                <w:szCs w:val="15"/>
                <w:color w:val="auto"/>
              </w:rPr>
            </w:pPr>
          </w:p>
        </w:tc>
        <w:tc>
          <w:tcPr>
            <w:tcW w:w="1740" w:type="dxa"/>
            <w:vAlign w:val="bottom"/>
          </w:tcPr>
          <w:p>
            <w:pPr>
              <w:jc w:val="center"/>
              <w:ind w:right="34"/>
              <w:spacing w:after="0" w:line="176" w:lineRule="exact"/>
              <w:rPr>
                <w:sz w:val="20"/>
                <w:szCs w:val="20"/>
                <w:color w:val="auto"/>
              </w:rPr>
            </w:pPr>
            <w:r>
              <w:rPr>
                <w:rFonts w:ascii="Times New Roman" w:cs="Times New Roman" w:eastAsia="Times New Roman" w:hAnsi="Times New Roman"/>
                <w:sz w:val="17"/>
                <w:szCs w:val="17"/>
                <w:color w:val="auto"/>
              </w:rPr>
              <w:t>Ended November 30,</w:t>
            </w:r>
          </w:p>
        </w:tc>
      </w:tr>
      <w:tr>
        <w:trPr>
          <w:trHeight w:val="22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w w:val="99"/>
              </w:rPr>
              <w:t>2023</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978,757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907,010</w:t>
            </w: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w:t>
            </w:r>
          </w:p>
        </w:tc>
      </w:tr>
      <w:tr>
        <w:trPr>
          <w:trHeight w:val="22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basic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diluted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MarkLogic Acquisition</w:t>
      </w:r>
    </w:p>
    <w:p>
      <w:pPr>
        <w:spacing w:after="0" w:line="246" w:lineRule="exact"/>
        <w:rPr>
          <w:sz w:val="20"/>
          <w:szCs w:val="20"/>
          <w:color w:val="auto"/>
        </w:rPr>
      </w:pPr>
    </w:p>
    <w:p>
      <w:pPr>
        <w:jc w:val="both"/>
        <w:ind w:right="60"/>
        <w:spacing w:after="0" w:line="291" w:lineRule="auto"/>
        <w:rPr>
          <w:sz w:val="20"/>
          <w:szCs w:val="20"/>
          <w:color w:val="auto"/>
        </w:rPr>
      </w:pPr>
      <w:r>
        <w:rPr>
          <w:rFonts w:ascii="Times New Roman" w:cs="Times New Roman" w:eastAsia="Times New Roman" w:hAnsi="Times New Roman"/>
          <w:sz w:val="17"/>
          <w:szCs w:val="17"/>
          <w:color w:val="auto"/>
        </w:rPr>
        <w:t>On February 7, 2023, we completed the acquisition of the parent company of MarkLogic Corporation ("MarkLogic"), for a base purchase price of $355.0 million, subject to certain customary adjustments, in cash.</w:t>
      </w:r>
    </w:p>
    <w:p>
      <w:pPr>
        <w:spacing w:after="0" w:line="173"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color w:val="auto"/>
        </w:rPr>
        <w:t>The acquisition consideration for MarkLogic has been allocated to MarkLogic's tangible assets, identifiable intangible assets and assumed liabilities based on their estimated fair values. The excess of total consideration over the tangible assets, identifiable intangible assets and assumed liabilities was recorded as goodwill.</w:t>
      </w:r>
    </w:p>
    <w:p>
      <w:pPr>
        <w:spacing w:after="0" w:line="173" w:lineRule="exact"/>
        <w:rPr>
          <w:sz w:val="20"/>
          <w:szCs w:val="20"/>
          <w:color w:val="auto"/>
        </w:rPr>
      </w:pPr>
    </w:p>
    <w:p>
      <w:pPr>
        <w:ind w:right="540"/>
        <w:spacing w:after="0" w:line="291" w:lineRule="auto"/>
        <w:rPr>
          <w:sz w:val="20"/>
          <w:szCs w:val="20"/>
          <w:color w:val="auto"/>
        </w:rPr>
      </w:pPr>
      <w:r>
        <w:rPr>
          <w:rFonts w:ascii="Times New Roman" w:cs="Times New Roman" w:eastAsia="Times New Roman" w:hAnsi="Times New Roman"/>
          <w:sz w:val="17"/>
          <w:szCs w:val="17"/>
          <w:color w:val="auto"/>
        </w:rPr>
        <w:t>We recorded measurement period adjustments based on our valuation and purchase price allocation procedures. The measurement period adjustments were completed during the first fiscal quarter of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The allocation of the purchase price is as follows: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27"/>
        </w:trPr>
        <w:tc>
          <w:tcPr>
            <w:tcW w:w="8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Purchase Price</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Allocation</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Life</w:t>
            </w:r>
          </w:p>
        </w:tc>
      </w:tr>
      <w:tr>
        <w:trPr>
          <w:trHeight w:val="21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working capital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46,335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0"/>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Purchased technology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7 years</w:t>
            </w:r>
          </w:p>
        </w:tc>
      </w:tr>
      <w:tr>
        <w:trPr>
          <w:trHeight w:val="220"/>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 years</w:t>
            </w: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7 years</w:t>
            </w:r>
          </w:p>
        </w:tc>
      </w:tr>
      <w:tr>
        <w:trPr>
          <w:trHeight w:val="220"/>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 including long-term unbilled receivables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4,477</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(24,478)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0"/>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(32,418)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assets acquired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388,509</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The fair value of the intangible assets was estimated using the income approach in which the after-tax cash flows are discounted to present value. The cash flows are based on estimates used to value the acquisition, and the discount rates applied were benchmarked with reference to the implied rate of return from the transaction model as well as the weighted average cost of capital. The valuation assumptions take into consideration our estimates of customer attrition, technology obsolescence, and revenue growth projections.</w:t>
      </w:r>
    </w:p>
    <w:p>
      <w:pPr>
        <w:spacing w:after="0" w:line="194" w:lineRule="exact"/>
        <w:rPr>
          <w:sz w:val="20"/>
          <w:szCs w:val="20"/>
          <w:color w:val="auto"/>
        </w:rPr>
      </w:pPr>
    </w:p>
    <w:p>
      <w:pPr>
        <w:ind w:right="700"/>
        <w:spacing w:after="0" w:line="291" w:lineRule="auto"/>
        <w:rPr>
          <w:sz w:val="20"/>
          <w:szCs w:val="20"/>
          <w:color w:val="auto"/>
        </w:rPr>
      </w:pPr>
      <w:r>
        <w:rPr>
          <w:rFonts w:ascii="Times New Roman" w:cs="Times New Roman" w:eastAsia="Times New Roman" w:hAnsi="Times New Roman"/>
          <w:sz w:val="17"/>
          <w:szCs w:val="17"/>
          <w:color w:val="auto"/>
        </w:rPr>
        <w:t>Tangible assets acquired and assumed liabilities were recorded at fair value. We determined the acquisition date deferred revenue balances based on our assessment of the individual contracts acquired. A significant portion of the deferred revenue was recognized in the 12 months following the acquisition.</w:t>
      </w:r>
    </w:p>
    <w:p>
      <w:pPr>
        <w:spacing w:after="0" w:line="173"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7"/>
          <w:szCs w:val="17"/>
          <w:color w:val="auto"/>
        </w:rPr>
        <w:t>We recorded the excess of the purchase price over the identified tangible and intangible assets as goodwill. We believe that the investment value of the future enhancement of our product and solution offerings created as a result of this acquisition has principally contributed to a purchase price that resulted in the recognition of $161.8 million of goodwill, which is not deductible for tax purposes.</w:t>
      </w:r>
    </w:p>
    <w:p>
      <w:pPr>
        <w:spacing w:after="0" w:line="189"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color w:val="auto"/>
        </w:rPr>
        <w:t>Acquisition-related transaction costs (e.g., legal, due diligence, valuation, and other professional fees) and certain acquisition restructuring and related charges are not included as a component of consideration transferred but are required to be expensed as incurred.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i w:val="1"/>
          <w:iCs w:val="1"/>
          <w:color w:val="auto"/>
        </w:rPr>
        <w:t>Unaudited Pro Forma Information</w:t>
      </w:r>
    </w:p>
    <w:p>
      <w:pPr>
        <w:spacing w:after="0" w:line="2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following unaudited pro forma financial information presents the combined results of operations of Progress and MarkLogic as if the acquisition had occurred on December 1, 2021, after giving effect to certain pro forma adjustments. The pro forma adjustments reflected herein include only those adjustments that are directly attributable to the MarkLogic acquisition and factually supportable. These pro forma adjustments include: (i) a net increase in amortization expense to record amortization expense relating to the $232.1 million of acquired identifiable intangible assets, (ii) an increase in interest expense to record interest for the period presented as a result of drawing down our revolving line of credit in connection with the acquisition, and (iii) the income tax effect of the adjustments made at the statutory tax rate of the U.S. (approximately 24.5%).</w:t>
      </w:r>
    </w:p>
    <w:p>
      <w:pPr>
        <w:spacing w:after="0" w:line="199" w:lineRule="exact"/>
        <w:rPr>
          <w:sz w:val="20"/>
          <w:szCs w:val="20"/>
          <w:color w:val="auto"/>
        </w:rPr>
      </w:pPr>
    </w:p>
    <w:p>
      <w:pPr>
        <w:ind w:right="760"/>
        <w:spacing w:after="0" w:line="291" w:lineRule="auto"/>
        <w:rPr>
          <w:sz w:val="20"/>
          <w:szCs w:val="20"/>
          <w:color w:val="auto"/>
        </w:rPr>
      </w:pPr>
      <w:r>
        <w:rPr>
          <w:rFonts w:ascii="Times New Roman" w:cs="Times New Roman" w:eastAsia="Times New Roman" w:hAnsi="Times New Roman"/>
          <w:sz w:val="17"/>
          <w:szCs w:val="17"/>
          <w:color w:val="auto"/>
        </w:rPr>
        <w:t>The unaudited pro forma financial information does not reflect any adjustments for anticipated expense savings resulting from the acquisition and is not necessarily indicative of the operating results that would have actually occurred had the transaction been consummated on December 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w w:val="99"/>
              </w:rPr>
              <w:t>Pro Forma Fiscal Year</w:t>
            </w:r>
          </w:p>
        </w:tc>
      </w:tr>
      <w:tr>
        <w:trPr>
          <w:trHeight w:val="176"/>
        </w:trPr>
        <w:tc>
          <w:tcPr>
            <w:tcW w:w="7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jc w:val="center"/>
              <w:ind w:right="34"/>
              <w:spacing w:after="0" w:line="176" w:lineRule="exact"/>
              <w:rPr>
                <w:sz w:val="20"/>
                <w:szCs w:val="20"/>
                <w:color w:val="auto"/>
              </w:rPr>
            </w:pPr>
            <w:r>
              <w:rPr>
                <w:rFonts w:ascii="Times New Roman" w:cs="Times New Roman" w:eastAsia="Times New Roman" w:hAnsi="Times New Roman"/>
                <w:sz w:val="17"/>
                <w:szCs w:val="17"/>
                <w:color w:val="auto"/>
              </w:rPr>
              <w:t>Ended November 30,</w:t>
            </w:r>
          </w:p>
        </w:tc>
      </w:tr>
      <w:tr>
        <w:trPr>
          <w:trHeight w:val="22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w w:val="99"/>
              </w:rPr>
              <w:t>2023</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733,289</w:t>
            </w: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79,411</w:t>
            </w:r>
          </w:p>
        </w:tc>
      </w:tr>
      <w:tr>
        <w:trPr>
          <w:trHeight w:val="22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basic share</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diluted share</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525"/>
        </w:trPr>
        <w:tc>
          <w:tcPr>
            <w:tcW w:w="7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6: Debt</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40"/>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As of November 30, 2025 and 2024, we had the following debt obligations:</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46"/>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1"/>
                <w:szCs w:val="21"/>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November 30, 2025</w:t>
            </w:r>
          </w:p>
        </w:tc>
        <w:tc>
          <w:tcPr>
            <w:tcW w:w="140" w:type="dxa"/>
            <w:vAlign w:val="bottom"/>
          </w:tcPr>
          <w:p>
            <w:pPr>
              <w:spacing w:after="0"/>
              <w:rPr>
                <w:sz w:val="21"/>
                <w:szCs w:val="21"/>
                <w:color w:val="auto"/>
              </w:rPr>
            </w:pPr>
          </w:p>
        </w:tc>
        <w:tc>
          <w:tcPr>
            <w:tcW w:w="17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November 30, 2024</w:t>
            </w:r>
          </w:p>
        </w:tc>
      </w:tr>
      <w:tr>
        <w:trPr>
          <w:trHeight w:val="200"/>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20"/>
        </w:trPr>
        <w:tc>
          <w:tcPr>
            <w:tcW w:w="7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1.0% convertible senior notes due 2026</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Unamortized discount and issuance costs for the Notes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73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Total current portion of long-term debt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359,163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0"/>
        </w:trPr>
        <w:tc>
          <w:tcPr>
            <w:tcW w:w="7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1.0% convertible senior notes due 2026</w:t>
            </w:r>
          </w:p>
        </w:tc>
        <w:tc>
          <w:tcPr>
            <w:tcW w:w="18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360,000</w:t>
            </w:r>
          </w:p>
        </w:tc>
      </w:tr>
      <w:tr>
        <w:trPr>
          <w:trHeight w:val="220"/>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3.5% convertible senior notes due 2030</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r>
      <w:tr>
        <w:trPr>
          <w:trHeight w:val="220"/>
        </w:trPr>
        <w:tc>
          <w:tcPr>
            <w:tcW w:w="7380" w:type="dxa"/>
            <w:vAlign w:val="bottom"/>
            <w:tcBorders>
              <w:bottom w:val="single" w:sz="8" w:color="CCEEFF"/>
            </w:tcBorders>
          </w:tcPr>
          <w:p>
            <w:pPr>
              <w:ind w:left="160"/>
              <w:spacing w:after="0" w:line="220" w:lineRule="exact"/>
              <w:rPr>
                <w:sz w:val="20"/>
                <w:szCs w:val="20"/>
                <w:color w:val="auto"/>
              </w:rPr>
            </w:pPr>
            <w:r>
              <w:rPr>
                <w:rFonts w:ascii="Times New Roman" w:cs="Times New Roman" w:eastAsia="Times New Roman" w:hAnsi="Times New Roman"/>
                <w:sz w:val="17"/>
                <w:szCs w:val="17"/>
                <w:color w:val="auto"/>
              </w:rPr>
              <w:t>Revolving credit facility</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730,000</w:t>
            </w:r>
          </w:p>
        </w:tc>
      </w:tr>
      <w:tr>
        <w:trPr>
          <w:trHeight w:val="213"/>
        </w:trPr>
        <w:tc>
          <w:tcPr>
            <w:tcW w:w="73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Total face value of long-term debt</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1,540,000</w:t>
            </w:r>
          </w:p>
        </w:tc>
      </w:tr>
      <w:tr>
        <w:trPr>
          <w:trHeight w:val="220"/>
        </w:trPr>
        <w:tc>
          <w:tcPr>
            <w:tcW w:w="7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Unamortized discount and issuance costs for the Notes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(13,733)</w:t>
            </w:r>
          </w:p>
        </w:tc>
      </w:tr>
      <w:tr>
        <w:trPr>
          <w:trHeight w:val="213"/>
        </w:trPr>
        <w:tc>
          <w:tcPr>
            <w:tcW w:w="73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Total long-term debt</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1,041,186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1,526,267</w:t>
            </w:r>
          </w:p>
        </w:tc>
      </w:tr>
      <w:tr>
        <w:trPr>
          <w:trHeight w:val="213"/>
        </w:trPr>
        <w:tc>
          <w:tcPr>
            <w:tcW w:w="73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Total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1,400,349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1,526,267</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Unamortized debt issuance costs related to the revolving credit facility of $10.4 million and $6.0 million are included in other assets on the consolidated balance sheets as of November 30, 2025 and 2024, respectively.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Payable</w:t>
      </w:r>
    </w:p>
    <w:p>
      <w:pPr>
        <w:spacing w:after="0" w:line="22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In March 2024, we issued, in a private placement, convertible senior notes with an aggregate principal amount of $450 million, due March 1, 2030, unless earlier repurchased, redeemed, or converted. In April 2021, we issued, in a private placement, convertible senior notes with an aggregate principal amount of</w:t>
      </w:r>
    </w:p>
    <w:p>
      <w:pPr>
        <w:spacing w:after="0" w:line="1"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7"/>
          <w:szCs w:val="17"/>
          <w:color w:val="auto"/>
        </w:rPr>
        <w:t>$360.0 million, due April 15, 2026, unless earlier repurchased, redeemed, or converted. There are no required principal payments prior to the maturity of the Notes. During the fiscal year ending November 30, 2025, we reclassified the 2026 Notes from long-term debt to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color w:val="auto"/>
        </w:rPr>
        <w:t>Further details of the Notes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Effective Interest</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Semi-Annual</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Initial Conversion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Initial Conversion</w:t>
            </w:r>
          </w:p>
        </w:tc>
        <w:tc>
          <w:tcPr>
            <w:tcW w:w="0" w:type="dxa"/>
            <w:vAlign w:val="bottom"/>
          </w:tcPr>
          <w:p>
            <w:pPr>
              <w:spacing w:after="0"/>
              <w:rPr>
                <w:sz w:val="1"/>
                <w:szCs w:val="1"/>
                <w:color w:val="auto"/>
              </w:rPr>
            </w:pPr>
          </w:p>
        </w:tc>
      </w:tr>
      <w:tr>
        <w:trPr>
          <w:trHeight w:val="168"/>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8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Interest Payment</w:t>
            </w:r>
          </w:p>
        </w:tc>
        <w:tc>
          <w:tcPr>
            <w:tcW w:w="158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7"/>
                <w:szCs w:val="17"/>
                <w:color w:val="auto"/>
              </w:rPr>
              <w:t>Rate per $1,000</w:t>
            </w:r>
          </w:p>
        </w:tc>
        <w:tc>
          <w:tcPr>
            <w:tcW w:w="14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Price per share of</w:t>
            </w:r>
          </w:p>
        </w:tc>
        <w:tc>
          <w:tcPr>
            <w:tcW w:w="0" w:type="dxa"/>
            <w:vAlign w:val="bottom"/>
          </w:tcPr>
          <w:p>
            <w:pPr>
              <w:spacing w:after="0"/>
              <w:rPr>
                <w:sz w:val="1"/>
                <w:szCs w:val="1"/>
                <w:color w:val="auto"/>
              </w:rPr>
            </w:pPr>
          </w:p>
        </w:tc>
      </w:tr>
      <w:tr>
        <w:trPr>
          <w:trHeight w:val="233"/>
        </w:trPr>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Issuance</w:t>
            </w: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Maturity Date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Interest Rate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Rate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Dates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Principal</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common stock</w:t>
            </w:r>
          </w:p>
        </w:tc>
        <w:tc>
          <w:tcPr>
            <w:tcW w:w="0" w:type="dxa"/>
            <w:vAlign w:val="bottom"/>
          </w:tcPr>
          <w:p>
            <w:pPr>
              <w:spacing w:after="0"/>
              <w:rPr>
                <w:sz w:val="1"/>
                <w:szCs w:val="1"/>
                <w:color w:val="auto"/>
              </w:rPr>
            </w:pPr>
          </w:p>
        </w:tc>
      </w:tr>
      <w:tr>
        <w:trPr>
          <w:trHeight w:val="161"/>
        </w:trPr>
        <w:tc>
          <w:tcPr>
            <w:tcW w:w="1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7"/>
                <w:szCs w:val="17"/>
                <w:color w:val="auto"/>
              </w:rPr>
              <w:t>March 1 and</w:t>
            </w: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2030 Notes</w:t>
            </w:r>
          </w:p>
        </w:tc>
        <w:tc>
          <w:tcPr>
            <w:tcW w:w="1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March 1, 2030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September 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14.7622</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$67.74</w:t>
            </w:r>
          </w:p>
        </w:tc>
        <w:tc>
          <w:tcPr>
            <w:tcW w:w="0" w:type="dxa"/>
            <w:vAlign w:val="bottom"/>
          </w:tcPr>
          <w:p>
            <w:pPr>
              <w:spacing w:after="0"/>
              <w:rPr>
                <w:sz w:val="1"/>
                <w:szCs w:val="1"/>
                <w:color w:val="auto"/>
              </w:rPr>
            </w:pPr>
          </w:p>
        </w:tc>
      </w:tr>
      <w:tr>
        <w:trPr>
          <w:trHeight w:val="168"/>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April 15 and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2026 Notes</w:t>
            </w: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April 15, 2026</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October 15</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17.4525</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$57.30</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Conversion Rights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Before November 1, 2029 and January 15, 2026, Noteholders may convert their 2030 Notes and 2026 Notes, respectively, in the following circumstances:</w:t>
      </w:r>
    </w:p>
    <w:p>
      <w:pPr>
        <w:spacing w:after="0" w:line="231" w:lineRule="exact"/>
        <w:rPr>
          <w:sz w:val="20"/>
          <w:szCs w:val="20"/>
          <w:color w:val="auto"/>
        </w:rPr>
      </w:pPr>
    </w:p>
    <w:p>
      <w:pPr>
        <w:ind w:left="620" w:right="120" w:hanging="306"/>
        <w:spacing w:after="0" w:line="236"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fiscal quarter commencing after the fiscal quarter ending on May 31, 2024 in the case of the 2030 Notes and May 31, 2021 in the case of the 2026 Notes, if the last reported sale price per share of the Company's common stock exceeds 130% of the conversion price for each of at least twenty trading days (whether or not consecutive) during the thirty consecutive trading days ending on, and including, the last trading day of the immediately preceding fiscal quarter; or</w:t>
      </w:r>
    </w:p>
    <w:p>
      <w:pPr>
        <w:spacing w:after="0" w:line="1" w:lineRule="exact"/>
        <w:rPr>
          <w:rFonts w:ascii="Times New Roman" w:cs="Times New Roman" w:eastAsia="Times New Roman" w:hAnsi="Times New Roman"/>
          <w:sz w:val="17"/>
          <w:szCs w:val="17"/>
          <w:color w:val="auto"/>
        </w:rPr>
      </w:pPr>
    </w:p>
    <w:p>
      <w:pPr>
        <w:ind w:left="620" w:right="140" w:hanging="306"/>
        <w:spacing w:after="0" w:line="232"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consecutive business days immediately after any ten consecutive trading day period (the "Measurement Period"), if the trading price per $1,000 principal amount of the applicable Notes for each trading day of the Measurement Period was less than 98% of the product of the last reported sale price per share of Company's common stock on such trading day and the conversion rate on such trading day; or</w:t>
      </w:r>
    </w:p>
    <w:p>
      <w:pPr>
        <w:spacing w:after="0" w:line="2" w:lineRule="exact"/>
        <w:rPr>
          <w:rFonts w:ascii="Times New Roman" w:cs="Times New Roman" w:eastAsia="Times New Roman" w:hAnsi="Times New Roman"/>
          <w:sz w:val="17"/>
          <w:szCs w:val="17"/>
          <w:color w:val="auto"/>
        </w:rPr>
      </w:pPr>
    </w:p>
    <w:p>
      <w:pPr>
        <w:ind w:left="620" w:right="160" w:hanging="306"/>
        <w:spacing w:after="0" w:line="230"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distributions on the Company's common stock, which distribution per share of common stock has a value exceeding 10% of the last reported sale price per share on the trading day immediately before the date such distribution is announced; or</w:t>
      </w:r>
    </w:p>
    <w:p>
      <w:pPr>
        <w:ind w:left="620" w:right="340" w:hanging="306"/>
        <w:spacing w:after="0" w:line="250"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certain corporate events or if the Company calls such applicable Notes for redemption, then the Noteholder of any applicable Note may convert such Note.</w:t>
      </w:r>
    </w:p>
    <w:p>
      <w:pPr>
        <w:spacing w:after="0" w:line="194"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7"/>
          <w:szCs w:val="17"/>
          <w:color w:val="auto"/>
        </w:rPr>
        <w:t>From and after November 1, 2029 and January 15, 2026, Noteholders may convert their 2030 Notes and 2026 Notes, respectively, at any time at their election until the close of business on the second scheduled trading day immediately before the maturity date. The Company will satisfy its conversion obligations by paying cash up to the aggregate principal amount of the Notes to be converted, by issuing shares of its common stock or a combination of cash and shares of its common stock, at its election. The conversion rate will be adjusted upon the occurrence of certain events, including spin-offs, tender offers, exchange offers, make-whole fundamental change, and certain stockholder distributions.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Repurchase Rights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or after March 5, 2027, and on or before the 60th scheduled trading day immediately before the maturity date, the Company may redeem for cash all or part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2030 Notes. On or after April 20, 2024, and on or before the 50th scheduled trading day immediately before the maturity date, the Company may redeem for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all or part of the 2026 Notes. These redemptions are subject to the partial redemption limitation, at a repurchase price equal to the principal amount, plus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and unpaid interest, if the last reported sale price per share of the Company's common stock exceeded 130% of the conversion price on (1) each of at least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twenty trading days (whether or not consecutive) during any thirty consecutive trading day period ending on, and including, the trading day immediately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preceding the date on which the Company provides a redemption notice and (2) the trading day immediately before the date the Company sends such notice.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partial redemption limitation, the Company may not elect to redeem less than all of the outstanding 2030 Notes or 2026 Notes unless at least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 million aggregate principal amount of the 2030 Notes or 2026 Notes, respectively, are outstanding and not subject to redemption as of the time it sends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redemption notice.</w:t>
      </w:r>
    </w:p>
    <w:p>
      <w:pPr>
        <w:spacing w:after="0" w:line="2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If certain corporate events that constitute a fundamental change (e.g., events such as business combination transactions involving the Company, shareholder approval of liquidation or dissolution of the Company, and certain de-listing events with respect to the Company's common stock) occur at any time, holders may, subject to certain exceptions, require the Company to purchase their Notes in whole or in part for cash at a price equal to the principal amount of the Notes to be repurchased, plus accrued and unpaid interest, to, but excluding, the fundamental change repurchase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for the Notes</w:t>
      </w:r>
    </w:p>
    <w:p>
      <w:pPr>
        <w:spacing w:after="0" w:line="2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The 2030 Notes are classified within non-current liabilities on our consolidated balance sheets. During fiscal year 2025, the 2026 Notes were reclassified from non-current liabilities to current liabilities on our consolidated balance sheets. The conversion option of the Notes does not require bifurcation as an embedded derivative. Issuance costs of $12.0 million and $10.8 million were recorded as a reduction to the principal balance of the 2030 Notes and 2026 Notes, respectively, and will be amortized as interest expense using the effective interest method over the contractual term.</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6"/>
              </w:rPr>
              <w:t>Fiscal Year Ended</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00"/>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5"/>
          </w:tcPr>
          <w:p>
            <w:pPr>
              <w:ind w:left="560"/>
              <w:spacing w:after="0"/>
              <w:rPr>
                <w:sz w:val="20"/>
                <w:szCs w:val="20"/>
                <w:color w:val="auto"/>
              </w:rPr>
            </w:pPr>
            <w:r>
              <w:rPr>
                <w:rFonts w:ascii="Times New Roman" w:cs="Times New Roman" w:eastAsia="Times New Roman" w:hAnsi="Times New Roman"/>
                <w:sz w:val="16"/>
                <w:szCs w:val="16"/>
                <w:color w:val="auto"/>
              </w:rPr>
              <w:t>November 30, 2025</w:t>
            </w:r>
          </w:p>
        </w:tc>
        <w:tc>
          <w:tcPr>
            <w:tcW w:w="100" w:type="dxa"/>
            <w:vAlign w:val="bottom"/>
          </w:tcPr>
          <w:p>
            <w:pPr>
              <w:spacing w:after="0"/>
              <w:rPr>
                <w:sz w:val="17"/>
                <w:szCs w:val="17"/>
                <w:color w:val="auto"/>
              </w:rPr>
            </w:pPr>
          </w:p>
        </w:tc>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November 30, 2024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November 30, 2023</w:t>
            </w:r>
          </w:p>
        </w:tc>
      </w:tr>
      <w:tr>
        <w:trPr>
          <w:trHeight w:val="202"/>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2030 Notes</w:t>
            </w: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2026 Notes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5"/>
              </w:rPr>
              <w:t>2030 Notes</w:t>
            </w: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2026 Notes</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2026 Notes</w:t>
            </w:r>
          </w:p>
        </w:tc>
      </w:tr>
      <w:tr>
        <w:trPr>
          <w:trHeight w:val="198"/>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2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15,750</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11,813</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3,610</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3,600</w:t>
            </w:r>
          </w:p>
        </w:tc>
      </w:tr>
      <w:tr>
        <w:trPr>
          <w:trHeight w:val="20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r>
      <w:tr>
        <w:trPr>
          <w:trHeight w:val="200"/>
        </w:trPr>
        <w:tc>
          <w:tcPr>
            <w:tcW w:w="412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5,747</w:t>
            </w:r>
          </w:p>
        </w:tc>
      </w:tr>
      <w:tr>
        <w:trPr>
          <w:trHeight w:val="21"/>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Capped Call Transactions</w:t>
      </w:r>
    </w:p>
    <w:p>
      <w:pPr>
        <w:spacing w:after="0" w:line="2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On February 27, 2024, in connection with the pricing of the 2030 Notes, the Company entered into privately negotiated capped call transactions (the "2024 Capped Call Transactions"). The 2024 Capped Call Transactions cover approximately 6.6 million shares of the Company's common stock, which represent the number of shares of common stock initially underlying the 2030 Notes. The 2024 Capped Call Transactions are generally expected to reduce potential dilution to our common stock upon any conversion of the 2030 Notes and/or offset any potential cash payments the Company is required to make in excess of the principal amount of converted 2030 Notes, as the case may be, with such reduction and/or offset subject to a cap. The cap price of the 2024 Capped Call Transactions was initially $92.98 per share of common stock, which represents a premium of 75% over the last reported sale price of the common stock of $53.13 per share on February 27, 2024, and is subject to certain adjustments under the terms of the 2024 Capped Call Transactions. The adjusted cap price of the 2024 Capped Call Transactions was approximately $91.57 per share of common stock at November 30, 2025. The cost of the purchased capped calls of $42.2 million was recorded as a reduction to additional paid-in-capital upon settlement in March 2024.</w:t>
      </w:r>
    </w:p>
    <w:p>
      <w:pPr>
        <w:spacing w:after="0" w:line="2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On April 8, 2021, in connection with the pricing of the 2026 Notes, the Company entered into privately negotiated capped call transactions (the "2021 Capped Call Transactions"). The 2021 Capped Call Transactions cover approximately 6.3 million shares of the Company's common stock, which represent the number of shares of common stock initially underlying the 2026 Notes. The 2021 Capped Call Transactions are generally expected to reduce potential dilution to our common stock upon any conversion of the 2026 Notes and/or offset any potential cash payments the Company is required to make in excess of the principal amount of converted 2026 Notes, as the case may be, with such reduction and/or offset subject to a cap. The cap price of the 2021 Capped Call Transactions was initially $89.88 per share of common stock, which represents a premium of 100% over the last reported sale price of the common stock of $44.94 per share on April 8, 2021, and is subject to certain adjustments under the terms of the 2021 Capped Call Transactions. The adjusted cap price of the 2021 Capped Call Transactions was approximately $77.72 per share of common stock at November 30, 2025. The cost of the purchased capped calls of $43.1 million was recorded as a reduction to additional paid-in-capital upon settlement in April 2021.</w:t>
      </w:r>
    </w:p>
    <w:p>
      <w:pPr>
        <w:spacing w:after="0" w:line="2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We elected to integrate the 2021 Capped Call Transactions and the 2024 Capped Call Transactions with the applicable Notes for federal income tax purposes pursuant to applicable U.S. Treasury Regulations. Accordingly, the $43.1 million gross cost of the purchased 2021 Capped Call Transactions and the $42.2 million gross cost of the purchased 2024 Capped Call Transactions will be deductible for income tax purposes as original discount interest over the term of the applicable Notes.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Facility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July 21, 2025, the Company entered into an amended and restated credit agreement (the "Credit Agreement") with certain lenders, which provides for a</w:t>
      </w:r>
    </w:p>
    <w:p>
      <w:pPr>
        <w:spacing w:after="0" w:line="1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7"/>
          <w:szCs w:val="17"/>
          <w:color w:val="auto"/>
        </w:rPr>
        <w:t>$1.5 billion secured revolving credit facility (the "Credit Facility"). The Credit Facility has sublimits for swing line loans up to $25.0 million and for the issuance of standby letters of credit in a face amount up to $25.0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 outstanding under our prior secured credit facility is now outstanding under the Credit Facility.</w:t>
      </w:r>
    </w:p>
    <w:p>
      <w:pPr>
        <w:spacing w:after="0" w:line="23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7"/>
          <w:szCs w:val="17"/>
          <w:color w:val="auto"/>
        </w:rPr>
        <w:t>Interest rates for the Credit Facility are determined by reference to a Term Benchmark Rate or a base rate at our option and range from 1.25% to 2.50% above the Term Benchmark Rate for Term Benchmark-based borrowings or from 0.25% to 1.50% above the defined base rate for base rate borrowings, in each case based upon our consolidated total net leverage ratio. During fiscal year 2025, we repaid $130.0 million on the Credit Facility. The interest rate as of November 30, 2025 was 5.92%.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57" w:name="page58"/>
    <w:bookmarkEnd w:id="57"/>
    <w:p>
      <w:pPr>
        <w:ind w:right="60"/>
        <w:spacing w:after="0" w:line="247" w:lineRule="auto"/>
        <w:rPr>
          <w:sz w:val="20"/>
          <w:szCs w:val="20"/>
          <w:color w:val="auto"/>
        </w:rPr>
      </w:pPr>
      <w:r>
        <w:rPr>
          <w:rFonts w:ascii="Times New Roman" w:cs="Times New Roman" w:eastAsia="Times New Roman" w:hAnsi="Times New Roman"/>
          <w:sz w:val="17"/>
          <w:szCs w:val="17"/>
          <w:color w:val="auto"/>
        </w:rPr>
        <w:t>The Credit Facility matures on the earlier of (i) July 21, 2030, and (ii) the date that is 91 days prior to the maturity date of our 2030 Notes subject to certain conditions as set forth in the Credit Agreement, including the repayment of the 2030 Notes, the refinancing of the 2030 Notes including a maturity date that is on or after October 21, 2030, and compliance with a liquidity test when all amounts outstanding will be due and payable in full. Revolving loans may be borrowed, repaid, and reborrowed until the maturity date, at which time all amounts outstanding must be repaid. Accrued interest on the loans is payable quarterly in arrears. As of November 30, 2025, there was $600.0 million outstanding under the revolving credit facility and $2.1 million of letters of credit.</w:t>
      </w:r>
    </w:p>
    <w:p>
      <w:pPr>
        <w:spacing w:after="0" w:line="21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Costs incurred to obtain the Credit Agreement of $6.2 million, along with $5.2 million of unamortized debt issuance costs related to the previous credit agreement, were recorded as debt issuance costs and will be amortized over the term of the debt agreement.</w:t>
      </w:r>
    </w:p>
    <w:p>
      <w:pPr>
        <w:spacing w:after="0" w:line="173"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7"/>
          <w:szCs w:val="17"/>
          <w:color w:val="auto"/>
        </w:rPr>
        <w:t>The Credit Agreement contains customary affirmative and negative covenants, including covenants that limit or restrict our ability to, among other things, grant liens, make investments, make acquisitions, incur indebtedness, merge or consolidate, dispose of assets, pay dividends or make distributions, repurchase stock, change the nature of the business, enter into certain transactions with affiliates, and enter into burdensome agreements, in each case subject to customary exceptions for a credit facility of this size and type. We are also required to maintain compliance with a consolidated interest charge coverage ratio and a consolidated senior secured net leverage ratio.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Leases</w:t>
      </w:r>
    </w:p>
    <w:p>
      <w:pPr>
        <w:spacing w:after="0" w:line="246"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7"/>
          <w:szCs w:val="17"/>
          <w:color w:val="auto"/>
        </w:rPr>
        <w:t>The Company has operating leases for facilities, vehicles, and equipment under various non-cancelable lease agreements. The Company's leases have remaining lease terms ranging from 1 year to 12 years. The Company's lease terms may include options to extend or terminate the lease. The Company considers several economic factors when making the determination as to whether the Company will exercise options to extend or terminate the lease, including but not limited to, the significance of leasehold improvements incurred in the office space, the difficulty in replacing the asset, underlying contractual obligations, or specific characteristics unique to a particular lease. The Company's lease agreements do not contain any material residual value guarantees or material restrictive covenants.</w:t>
      </w:r>
    </w:p>
    <w:p>
      <w:pPr>
        <w:spacing w:after="0" w:line="21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Consideration in the contract is comprised of any fixed payments and variable payments that depend on an index or rate. Payments in the Company's operating lease arrangements primarily consist of base office rent. The Company makes variable payments on certain of its leases related to taxes, insurance, common area maintenance, and utilities, among other things. We sublease certain facilities to third parties, which have remaining lease terms of up to one year.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net operating lease cost for the years ended November 30, 2025, 2024, and 2023 were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Fiscal Year Ended</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November 30, 2025</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November 30, 2024</w:t>
            </w: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1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costs under long-term operating leases</w:t>
            </w: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8,463</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8,935</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costs under short-term operating leases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20"/>
        </w:trPr>
        <w:tc>
          <w:tcPr>
            <w:tcW w:w="63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Variable lease cost under short-term and long-term operating leases</w:t>
            </w:r>
            <w:r>
              <w:rPr>
                <w:rFonts w:ascii="Times New Roman" w:cs="Times New Roman" w:eastAsia="Times New Roman" w:hAnsi="Times New Roman"/>
                <w:sz w:val="22"/>
                <w:szCs w:val="22"/>
                <w:color w:val="auto"/>
                <w:vertAlign w:val="superscript"/>
              </w:rPr>
              <w:t>(1)</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 impairment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Sublease income</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r>
      <w:tr>
        <w:trPr>
          <w:trHeight w:val="213"/>
        </w:trPr>
        <w:tc>
          <w:tcPr>
            <w:tcW w:w="6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net operating lease cost</w:t>
            </w: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10,862</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9,106</w:t>
            </w:r>
          </w:p>
        </w:tc>
      </w:tr>
      <w:tr>
        <w:trPr>
          <w:trHeight w:val="20"/>
        </w:trPr>
        <w:tc>
          <w:tcPr>
            <w:tcW w:w="6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40" w:hanging="137"/>
        <w:spacing w:after="0"/>
        <w:tabs>
          <w:tab w:leader="none" w:pos="14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Lease costs that are not fixed at lease commencement.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supplemental cash flow information related to leases during the years ended November 30, 2025, 2024, and 2023: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Fiscal Year Ended</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November 30, 2025</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November 30, 2024</w:t>
            </w: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13"/>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leases</w:t>
            </w:r>
          </w:p>
        </w:tc>
        <w:tc>
          <w:tcPr>
            <w:tcW w:w="10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11,556</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10,472</w:t>
            </w:r>
          </w:p>
        </w:tc>
      </w:tr>
      <w:tr>
        <w:trPr>
          <w:trHeight w:val="226"/>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recognized for new leases and amendments (non-cash)</w:t>
            </w:r>
          </w:p>
        </w:tc>
        <w:tc>
          <w:tcPr>
            <w:tcW w:w="1560" w:type="dxa"/>
            <w:vAlign w:val="bottom"/>
            <w:gridSpan w:val="2"/>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19,404</w:t>
            </w:r>
          </w:p>
        </w:tc>
        <w:tc>
          <w:tcPr>
            <w:tcW w:w="10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3,444</w:t>
            </w:r>
          </w:p>
        </w:tc>
      </w:tr>
      <w:tr>
        <w:trPr>
          <w:trHeight w:val="939"/>
        </w:trPr>
        <w:tc>
          <w:tcPr>
            <w:tcW w:w="5340" w:type="dxa"/>
            <w:vAlign w:val="bottom"/>
          </w:tcPr>
          <w:p>
            <w:pPr>
              <w:spacing w:after="0"/>
              <w:rPr>
                <w:sz w:val="24"/>
                <w:szCs w:val="24"/>
                <w:color w:val="auto"/>
              </w:rPr>
            </w:pPr>
          </w:p>
        </w:tc>
        <w:tc>
          <w:tcPr>
            <w:tcW w:w="100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58</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9"/>
        </w:trPr>
        <w:tc>
          <w:tcPr>
            <w:tcW w:w="53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6"/>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remaining lease term in years and weighted average discount rate are as follows:</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21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November 30, 2025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November 30, 2024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in years</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0" w:type="dxa"/>
            <w:vAlign w:val="bottom"/>
          </w:tcPr>
          <w:p>
            <w:pPr>
              <w:spacing w:after="0"/>
              <w:rPr>
                <w:sz w:val="1"/>
                <w:szCs w:val="1"/>
                <w:color w:val="auto"/>
              </w:rPr>
            </w:pPr>
          </w:p>
        </w:tc>
      </w:tr>
      <w:tr>
        <w:trPr>
          <w:trHeight w:val="525"/>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Future payments under non-cancelable leases at November 30, 2025 are as follows:</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1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lease payments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33,598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Less imputed interest</w:t>
            </w:r>
          </w:p>
        </w:tc>
        <w:tc>
          <w:tcPr>
            <w:tcW w:w="1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Guarantees and Indemnification Obligations</w:t>
      </w:r>
    </w:p>
    <w:p>
      <w:pPr>
        <w:spacing w:after="0" w:line="24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We include standard intellectual property indemnification provisions in our licensing agreements in the ordinary course of business. Pursuant to our product license agreements, we will indemnify, hold harmless, and agree to reimburse the indemnified party for losses suffered or incurred by the indemnified party, generally business partners or customers, in connection with certain patent, copyright, or other intellectual property infringement claims by third parties with respect to our products. Other agreements with our customers provide indemnification for claims relating to property damage or personal injury resulting from the performance of services by us or our subcontractors. Historically, our costs to defend lawsuits or settle claims relating to such indemnity agreements have been insignificant. Accordingly, the estimated fair value of these indemnification provisions is insignificant.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 Obligations</w:t>
      </w:r>
    </w:p>
    <w:p>
      <w:pPr>
        <w:spacing w:after="0" w:line="24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In connection with our acquisition of ShareFile, we assumed an existing agreement for cloud-based hosting services through May 2029 with a third-party provider in the ordinary course of business. The agreement requires a purchase obligation of $130.0 million throughout the term of the agreement. As of November 30, 2025, we had $76.5 million of remaining obligations under this agreement. For the twelve months ended November 30, 2025 and 2024, the total expense related to this purchase obligation was $37.3 million and $2.5 million, respectively, and is recorded in cost of maintenance and services.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Please see Note 17, </w:t>
      </w:r>
      <w:r>
        <w:rPr>
          <w:rFonts w:ascii="Times New Roman" w:cs="Times New Roman" w:eastAsia="Times New Roman" w:hAnsi="Times New Roman"/>
          <w:sz w:val="17"/>
          <w:szCs w:val="17"/>
          <w:i w:val="1"/>
          <w:iCs w:val="1"/>
          <w:color w:val="auto"/>
        </w:rPr>
        <w:t>Cyber Related Matters</w:t>
      </w:r>
      <w:r>
        <w:rPr>
          <w:rFonts w:ascii="Times New Roman" w:cs="Times New Roman" w:eastAsia="Times New Roman" w:hAnsi="Times New Roman"/>
          <w:sz w:val="17"/>
          <w:szCs w:val="17"/>
          <w:color w:val="auto"/>
        </w:rPr>
        <w:t xml:space="preserve"> for a discussion of legal proceedings related to the MOVEit Vulnerability.</w:t>
      </w:r>
    </w:p>
    <w:p>
      <w:pPr>
        <w:spacing w:after="0" w:line="246"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We also are subject to various other legal proceedings and claims, either asserted or unasserted, which arise in the ordinary course of business. While the outcome of these claims cannot be predicted with certainty, management does not believe that the outcome of any of these other legal matters will have a material effect on our financial position, results of operations or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Stockholders' Equity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46"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Our Board of Directors is authorized to establish one or more series of preferred stock and to fix and determine the number and conditions of preferred shares, including dividend rates, redemption and/or conversion provisions, if any, preferences, and voting rights. As of November 30, 2025, there was no preferred stock issued or outstanding.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200,000,000 shares of authorized common stock, $0.01 par value per share, of which 42,335,700 were issued and outstanding at November 30, 2025.</w:t>
      </w:r>
    </w:p>
    <w:p>
      <w:pPr>
        <w:spacing w:after="0" w:line="244"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There were 370,239 deferred stock units ("DSUs") outstanding at November 30, 2025. Each DSU represents one share of our common stock and all DSU grants have been made to non-employee members of our Board of Directors. DSUs do not have voting rights and can only be converted into common stock when the recipient ceases to be a member of the Board of Directors or a change in control of the Company occurs.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Common Stock Repurchases</w:t>
      </w:r>
    </w:p>
    <w:p>
      <w:pPr>
        <w:spacing w:after="0" w:line="23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On September 23, 2025, our Board of Directors increased the share repurchase authorization by $200.0 million to an aggregate authorization of $242.2 million. In fiscal years 2025, 2024, and 2023, we repurchased and retired 2.1 million, 1.6 million, and 0.6 million shares of our common stock for $105.0 million, $86.8 million, and $34.0 million, respectively. As of November 30, 2025, there was $202.2 million remaining under the current authorization. Excise tax was insignificant for all years presented.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Stock-Based Compensation</w:t>
      </w:r>
    </w:p>
    <w:p>
      <w:pPr>
        <w:spacing w:after="0" w:line="24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We currently have one stockholder-approved stock plan from which we can issue stock-based awards, which was approved by our stockholders in fiscal year 2008 and most recently amended and approved by stockholders in May 2024 (the "2008 Plan"). The 2008 Plan permits the granting of stock awards to officers, members of the Board of Directors, employees, and consultants. Awards under the 2008 Plan may include nonqualified stock options, incentive stock options, grants of conditioned or restricted stock, unrestricted grants of stock, grants of stock contingent upon the attainment of performance goals, deferred stock units, and stock appreciation rights. A total of 4,476,791 shares were available for issuance as of November 30, 2025.</w:t>
      </w:r>
    </w:p>
    <w:p>
      <w:pPr>
        <w:spacing w:after="0" w:line="1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We previously adopted two stock plans for which the approval of stockholders was not required: the 2002 Nonqualified Stock Plan (the "2002 Plan") and the 2004 Inducement Stock Plan (the "2004 Plan"). The 2002 Plan permits the granting of stock awards to non-executive officer employees and consultants. Executive officers and members of the Board of Directors are not eligible for awards under the 2002 Plan. Awards under the 2002 Plan may include nonqualified stock options, grants of conditioned or restricted stock, unrestricted grants of stock, grants of stock contingent upon the attainment of performance goals, and stock appreciation rights. A total of 109,013 shares were available for issuance under the 2002 Plan as of November 30, 2025. Additional shares cannot be added to the 2002 Plan without stockholder approval. During the fiscal year ended November 30, 2024, we terminated the 2004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all of our plans, the awards granted generally begin to vest within one year of the grant.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summary of stock option activity under all the plans is as follows: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Weighted Average</w:t>
            </w:r>
          </w:p>
        </w:tc>
        <w:tc>
          <w:tcPr>
            <w:tcW w:w="100" w:type="dxa"/>
            <w:vAlign w:val="bottom"/>
          </w:tcPr>
          <w:p>
            <w:pPr>
              <w:spacing w:after="0"/>
              <w:rPr>
                <w:sz w:val="24"/>
                <w:szCs w:val="24"/>
                <w:color w:val="auto"/>
              </w:rPr>
            </w:pPr>
          </w:p>
        </w:tc>
        <w:tc>
          <w:tcPr>
            <w:tcW w:w="146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auto"/>
              </w:rPr>
              <w:t>Aggregate Intrinsic</w:t>
            </w:r>
          </w:p>
        </w:tc>
        <w:tc>
          <w:tcPr>
            <w:tcW w:w="0" w:type="dxa"/>
            <w:vAlign w:val="bottom"/>
          </w:tcPr>
          <w:p>
            <w:pPr>
              <w:spacing w:after="0"/>
              <w:rPr>
                <w:sz w:val="1"/>
                <w:szCs w:val="1"/>
                <w:color w:val="auto"/>
              </w:rPr>
            </w:pPr>
          </w:p>
        </w:tc>
      </w:tr>
      <w:tr>
        <w:trPr>
          <w:trHeight w:val="174"/>
        </w:trPr>
        <w:tc>
          <w:tcPr>
            <w:tcW w:w="4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auto"/>
              </w:rPr>
              <w:t>Shares</w:t>
            </w:r>
          </w:p>
        </w:tc>
        <w:tc>
          <w:tcPr>
            <w:tcW w:w="120" w:type="dxa"/>
            <w:vAlign w:val="bottom"/>
          </w:tcPr>
          <w:p>
            <w:pPr>
              <w:spacing w:after="0"/>
              <w:rPr>
                <w:sz w:val="15"/>
                <w:szCs w:val="15"/>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auto"/>
                <w:w w:val="98"/>
              </w:rPr>
              <w:t>Weighted Average</w:t>
            </w:r>
          </w:p>
        </w:tc>
        <w:tc>
          <w:tcPr>
            <w:tcW w:w="166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7"/>
                <w:szCs w:val="17"/>
                <w:color w:val="auto"/>
              </w:rPr>
              <w:t>Remaining</w:t>
            </w: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6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7"/>
                <w:szCs w:val="17"/>
                <w:color w:val="auto"/>
              </w:rPr>
              <w:t>Contractual Term</w:t>
            </w:r>
          </w:p>
        </w:tc>
        <w:tc>
          <w:tcPr>
            <w:tcW w:w="100" w:type="dxa"/>
            <w:vAlign w:val="bottom"/>
          </w:tcPr>
          <w:p>
            <w:pPr>
              <w:spacing w:after="0"/>
              <w:rPr>
                <w:sz w:val="14"/>
                <w:szCs w:val="14"/>
                <w:color w:val="auto"/>
              </w:rPr>
            </w:pPr>
          </w:p>
        </w:tc>
        <w:tc>
          <w:tcPr>
            <w:tcW w:w="1460" w:type="dxa"/>
            <w:vAlign w:val="bottom"/>
          </w:tcPr>
          <w:p>
            <w:pPr>
              <w:jc w:val="center"/>
              <w:ind w:right="14"/>
              <w:spacing w:after="0" w:line="168" w:lineRule="exact"/>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20"/>
        </w:trPr>
        <w:tc>
          <w:tcPr>
            <w:tcW w:w="4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Pr>
          <w:p>
            <w:pPr>
              <w:spacing w:after="0"/>
              <w:rPr>
                <w:sz w:val="19"/>
                <w:szCs w:val="19"/>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Exercise Price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 years)</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December 1, 2024</w:t>
            </w: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52.61</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Canceled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44.52</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November 30, 2025</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Exercisable, November 30, 2025</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1,231</w:t>
            </w:r>
          </w:p>
        </w:tc>
        <w:tc>
          <w:tcPr>
            <w:tcW w:w="100" w:type="dxa"/>
            <w:vAlign w:val="bottom"/>
          </w:tcPr>
          <w:p>
            <w:pPr>
              <w:spacing w:after="0"/>
              <w:rPr>
                <w:sz w:val="16"/>
                <w:szCs w:val="16"/>
                <w:color w:val="auto"/>
              </w:rPr>
            </w:pPr>
          </w:p>
        </w:tc>
        <w:tc>
          <w:tcPr>
            <w:tcW w:w="1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45.99</w:t>
            </w:r>
          </w:p>
        </w:tc>
        <w:tc>
          <w:tcPr>
            <w:tcW w:w="120" w:type="dxa"/>
            <w:vAlign w:val="bottom"/>
          </w:tcPr>
          <w:p>
            <w:pPr>
              <w:spacing w:after="0"/>
              <w:rPr>
                <w:sz w:val="16"/>
                <w:szCs w:val="16"/>
                <w:color w:val="auto"/>
              </w:rPr>
            </w:pPr>
          </w:p>
        </w:tc>
        <w:tc>
          <w:tcPr>
            <w:tcW w:w="15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6"/>
                <w:szCs w:val="16"/>
                <w:color w:val="auto"/>
              </w:rPr>
            </w:pPr>
          </w:p>
        </w:tc>
        <w:tc>
          <w:tcPr>
            <w:tcW w:w="1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22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or expected to vest, November 30,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945"/>
        </w:trPr>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color w:val="auto"/>
        </w:rPr>
        <w:t>A summary of restricted stock units' activity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8"/>
              </w:rPr>
              <w:t>Weighted Average Fair</w:t>
            </w:r>
          </w:p>
        </w:tc>
      </w:tr>
      <w:tr>
        <w:trPr>
          <w:trHeight w:val="233"/>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9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Number of Shares</w:t>
            </w:r>
          </w:p>
        </w:tc>
        <w:tc>
          <w:tcPr>
            <w:tcW w:w="140" w:type="dxa"/>
            <w:vAlign w:val="bottom"/>
          </w:tcPr>
          <w:p>
            <w:pPr>
              <w:spacing w:after="0"/>
              <w:rPr>
                <w:sz w:val="20"/>
                <w:szCs w:val="20"/>
                <w:color w:val="auto"/>
              </w:rPr>
            </w:pPr>
          </w:p>
        </w:tc>
        <w:tc>
          <w:tcPr>
            <w:tcW w:w="174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rPr>
              <w:t>Value</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outstanding, December 1, 2024</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54.62</w:t>
            </w:r>
          </w:p>
        </w:tc>
      </w:tr>
      <w:tr>
        <w:trPr>
          <w:trHeight w:val="220"/>
        </w:trPr>
        <w:tc>
          <w:tcPr>
            <w:tcW w:w="7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53.30</w:t>
            </w:r>
          </w:p>
        </w:tc>
      </w:tr>
      <w:tr>
        <w:trPr>
          <w:trHeight w:val="220"/>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Issued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52.19</w:t>
            </w:r>
          </w:p>
        </w:tc>
      </w:tr>
      <w:tr>
        <w:trPr>
          <w:trHeight w:val="220"/>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Canceled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54.84</w:t>
            </w:r>
          </w:p>
        </w:tc>
      </w:tr>
      <w:tr>
        <w:trPr>
          <w:trHeight w:val="23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outstanding, November 30, 2025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Each restricted stock unit represents one share of common stock. The restricted stock units generally vest semi-annually over a three-year period. Performance-based restricted stock units are subject to multi-year performance criteria aligned with our business plan and are earned only to the extent the performance criteria are achieved.</w:t>
      </w:r>
    </w:p>
    <w:p>
      <w:pPr>
        <w:spacing w:after="0" w:line="189"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7"/>
          <w:szCs w:val="17"/>
          <w:color w:val="auto"/>
        </w:rPr>
        <w:t>The fair value of stock awards, restricted stock units, and DSUs is equal to the closing price of our common stock on the date of grant, less the present value of expected dividends when applicable.</w:t>
      </w:r>
    </w:p>
    <w:p>
      <w:pPr>
        <w:spacing w:after="0" w:line="16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7"/>
          <w:szCs w:val="17"/>
          <w:color w:val="auto"/>
        </w:rPr>
        <w:t>During the first quarter of fiscal years 2025, 2024, and 2023, we granted performance-based restricted stock units that include two performance metrics under a Long-Term Incentive Plan ("LTIP") where the performance measurement period is three years. For the 2025, 2024, and 2023 plans, the vesting terms were based on the following: (i) 75% is based on achievement of a three-year cumulative operating income, and (ii) 25% is based on our level of attainment of specified total stockholder return targets relative to the percentage appreciation of a specified index of companies for the respective three-year periods. The vesting of LTIP awards is also subject to continued employment of the grantees through the performance period, except in the event of a qualifying termination. In order to estimate the fair value of such awards, we used a Monte Carlo Simulation valuation model for the market condition portion of the award and used the closing price of our common stock on the date of grant, less the present value of expected dividends when applicable, for the portion related to the performance condition.</w:t>
      </w:r>
    </w:p>
    <w:p>
      <w:pPr>
        <w:spacing w:after="0" w:line="2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1991 Employee Stock Purchase Plan was most recently amended and approved by stockholders in May 2023 ("ESPP") and permits eligible employees to purchase up to an aggregate of 11,250,000 shares of our common stock through accumulated payroll deductions. The ESPP has a 27-month offering period comprised of nine three-month purchase periods. The purchase price of the stock is equal to 85% of the lesser of the market value of such shares at the beginning of a 27-month offering period or the end of each three-month segment within such offering period. If the market price at any of the nine purchase periods is less than the market price on the first date of the 27-month offering period, subsequent to the purchase, the offering period is canceled and the employee is entered into a new 27-month offering period with the then current market price as the new base price. We issued 324,000 shares, 324,000 shares, and 279,000 shares with weighted average purchase prices of $42.54, $38.08, and $36.88 per share, respectively, in fiscal years 2025, 2024, and 2023, respectively. At November 30, 2025, approximately 459,000 shares were available and reserved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1" w:name="page62"/>
    <w:bookmarkEnd w:id="61"/>
    <w:p>
      <w:pPr>
        <w:ind w:right="300"/>
        <w:spacing w:after="0" w:line="291" w:lineRule="auto"/>
        <w:rPr>
          <w:sz w:val="20"/>
          <w:szCs w:val="20"/>
          <w:color w:val="auto"/>
        </w:rPr>
      </w:pPr>
      <w:r>
        <w:rPr>
          <w:rFonts w:ascii="Times New Roman" w:cs="Times New Roman" w:eastAsia="Times New Roman" w:hAnsi="Times New Roman"/>
          <w:sz w:val="17"/>
          <w:szCs w:val="17"/>
          <w:color w:val="auto"/>
        </w:rPr>
        <w:t>We estimated the fair value of stock options and ESPP awards granted in fiscal years 2025, 2024, and 2023 on the measurement dates using the Black-Scholes option valuation model, and LTIP awards using the Monte Carlo Simulation valuation model, with the following weighted average assumptions: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4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Fiscal Year Ended</w:t>
            </w:r>
          </w:p>
        </w:tc>
        <w:tc>
          <w:tcPr>
            <w:tcW w:w="1660" w:type="dxa"/>
            <w:vAlign w:val="bottom"/>
            <w:tcBorders>
              <w:bottom w:val="single" w:sz="8" w:color="auto"/>
            </w:tcBorders>
          </w:tcPr>
          <w:p>
            <w:pPr>
              <w:spacing w:after="0"/>
              <w:rPr>
                <w:sz w:val="19"/>
                <w:szCs w:val="19"/>
                <w:color w:val="auto"/>
              </w:rPr>
            </w:pPr>
          </w:p>
        </w:tc>
      </w:tr>
      <w:tr>
        <w:trPr>
          <w:trHeight w:val="213"/>
        </w:trPr>
        <w:tc>
          <w:tcPr>
            <w:tcW w:w="60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November 30, 2025</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November 30, 2024</w:t>
            </w:r>
          </w:p>
        </w:tc>
        <w:tc>
          <w:tcPr>
            <w:tcW w:w="16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00"/>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20"/>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Expected volatility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30.6 %</w:t>
            </w:r>
          </w:p>
        </w:tc>
      </w:tr>
      <w:tr>
        <w:trPr>
          <w:trHeight w:val="22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Risk-free interest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r>
      <w:tr>
        <w:trPr>
          <w:trHeight w:val="220"/>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Expected life (in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2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Expected dividend yield</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20"/>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Expected volatility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26.9 %</w:t>
            </w:r>
          </w:p>
        </w:tc>
      </w:tr>
      <w:tr>
        <w:trPr>
          <w:trHeight w:val="220"/>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Risk-free interest rate</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r>
      <w:tr>
        <w:trPr>
          <w:trHeight w:val="22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Expected life (in years)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Expected dividend yield</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2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incentive plan:</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0"/>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Expected volatility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31.4 %</w:t>
            </w:r>
          </w:p>
        </w:tc>
      </w:tr>
      <w:tr>
        <w:trPr>
          <w:trHeight w:val="22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Risk-free interest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r>
      <w:tr>
        <w:trPr>
          <w:trHeight w:val="220"/>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Expected life (in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Expected dividend yield</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305"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7"/>
          <w:szCs w:val="17"/>
          <w:color w:val="auto"/>
        </w:rPr>
        <w:t>For each stock option award, the expected life in years is based on historical exercise patterns and post-vesting termination behavior. Expected volatility is based on historical volatility of our stock, and the risk-free interest rate is based on the U.S. Treasury yield curve for the period that is commensurate with the expected life at the time of grant. The expected annual dividend yield is based on the weighted-average of the dividend yield assumptions used for options granted during the applicable period. For each ESPP award, the expected life in years is based on the period of time between the beginning of the offering period and the date of purchase, plus an additional holding period of three months.</w:t>
      </w:r>
    </w:p>
    <w:p>
      <w:pPr>
        <w:spacing w:after="0" w:line="19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Based on the above assumptions, the weighted average estimated fair value of stock options granted in fiscal years 2025, 2024, and 2023 was $15.22, $15.79, and $14.40 per share, respectively. We amortize the estimated fair value of stock options to expense over the vesting period using the straight-line method. The weighted average estimated fair value for shares issued under our ESPP in fiscal years 2025, 2024, and 2023 was $15.03, $13.11, and $13.56 per share, respectively. We amortize the estimated fair value of shares issued under the ESPP to expense over the vesting period using a graded vesting model.</w:t>
      </w:r>
    </w:p>
    <w:p>
      <w:pPr>
        <w:spacing w:after="0" w:line="194" w:lineRule="exact"/>
        <w:rPr>
          <w:sz w:val="20"/>
          <w:szCs w:val="20"/>
          <w:color w:val="auto"/>
        </w:rPr>
      </w:pPr>
    </w:p>
    <w:p>
      <w:pPr>
        <w:ind w:right="640"/>
        <w:spacing w:after="0" w:line="291" w:lineRule="auto"/>
        <w:rPr>
          <w:sz w:val="20"/>
          <w:szCs w:val="20"/>
          <w:color w:val="auto"/>
        </w:rPr>
      </w:pPr>
      <w:r>
        <w:rPr>
          <w:rFonts w:ascii="Times New Roman" w:cs="Times New Roman" w:eastAsia="Times New Roman" w:hAnsi="Times New Roman"/>
          <w:sz w:val="17"/>
          <w:szCs w:val="17"/>
          <w:color w:val="auto"/>
        </w:rPr>
        <w:t>Total unrecognized stock-based compensation expense, net of expected forfeitures, related to unvested stock options and unvested restricted stock awards amounted to $78.6 million at November 30, 2025. These costs are expected to be recognized over a weighted average period of 2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additional activity occurred under our plans:</w:t>
            </w:r>
          </w:p>
        </w:tc>
        <w:tc>
          <w:tcPr>
            <w:tcW w:w="1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517"/>
        </w:trPr>
        <w:tc>
          <w:tcPr>
            <w:tcW w:w="4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Fiscal Year Ended</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November 30, 2025</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November 30, 2024</w:t>
            </w: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1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intrinsic value of stock options on date exercised</w:t>
            </w:r>
          </w:p>
        </w:tc>
        <w:tc>
          <w:tcPr>
            <w:tcW w:w="1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7,471</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12,171</w:t>
            </w: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fair value of deferred stock units on date vested</w:t>
            </w:r>
          </w:p>
        </w:tc>
        <w:tc>
          <w:tcPr>
            <w:tcW w:w="2080" w:type="dxa"/>
            <w:vAlign w:val="bottom"/>
            <w:gridSpan w:val="2"/>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10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w:t>
            </w:r>
          </w:p>
        </w:tc>
      </w:tr>
      <w:tr>
        <w:trPr>
          <w:trHeight w:val="22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fair value of restricted stock units on date vested</w:t>
            </w:r>
          </w:p>
        </w:tc>
        <w:tc>
          <w:tcPr>
            <w:tcW w:w="2080" w:type="dxa"/>
            <w:vAlign w:val="bottom"/>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33,402</w:t>
            </w:r>
          </w:p>
        </w:tc>
      </w:tr>
      <w:tr>
        <w:trPr>
          <w:trHeight w:val="932"/>
        </w:trPr>
        <w:tc>
          <w:tcPr>
            <w:tcW w:w="4820" w:type="dxa"/>
            <w:vAlign w:val="bottom"/>
          </w:tcPr>
          <w:p>
            <w:pPr>
              <w:spacing w:after="0"/>
              <w:rPr>
                <w:sz w:val="24"/>
                <w:szCs w:val="24"/>
                <w:color w:val="auto"/>
              </w:rPr>
            </w:pPr>
          </w:p>
        </w:tc>
        <w:tc>
          <w:tcPr>
            <w:tcW w:w="152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62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9"/>
        </w:trPr>
        <w:tc>
          <w:tcPr>
            <w:tcW w:w="48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color w:val="auto"/>
        </w:rPr>
        <w:t>The following table provides the classification of stock-based compensation as reflected in our consolidated statements of operations: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Fiscal Year Ended</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November 30, 2025</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November 30, 2024</w:t>
            </w: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November 30, 2023</w:t>
            </w:r>
          </w:p>
        </w:tc>
        <w:tc>
          <w:tcPr>
            <w:tcW w:w="0" w:type="dxa"/>
            <w:vAlign w:val="bottom"/>
          </w:tcPr>
          <w:p>
            <w:pPr>
              <w:spacing w:after="0"/>
              <w:rPr>
                <w:sz w:val="1"/>
                <w:szCs w:val="1"/>
                <w:color w:val="auto"/>
              </w:rPr>
            </w:pPr>
          </w:p>
        </w:tc>
      </w:tr>
      <w:tr>
        <w:trPr>
          <w:trHeight w:val="21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maintenance, SaaS, and professional services</w:t>
            </w: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3,540</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2,976</w:t>
            </w:r>
          </w:p>
        </w:tc>
        <w:tc>
          <w:tcPr>
            <w:tcW w:w="0" w:type="dxa"/>
            <w:vAlign w:val="bottom"/>
          </w:tcPr>
          <w:p>
            <w:pPr>
              <w:spacing w:after="0"/>
              <w:rPr>
                <w:sz w:val="1"/>
                <w:szCs w:val="1"/>
                <w:color w:val="auto"/>
              </w:rPr>
            </w:pP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6,797</w:t>
            </w: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development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12,214</w:t>
            </w:r>
          </w:p>
        </w:tc>
        <w:tc>
          <w:tcPr>
            <w:tcW w:w="0" w:type="dxa"/>
            <w:vAlign w:val="bottom"/>
          </w:tcPr>
          <w:p>
            <w:pPr>
              <w:spacing w:after="0"/>
              <w:rPr>
                <w:sz w:val="1"/>
                <w:szCs w:val="1"/>
                <w:color w:val="auto"/>
              </w:rPr>
            </w:pPr>
          </w:p>
        </w:tc>
      </w:tr>
      <w:tr>
        <w:trPr>
          <w:trHeight w:val="22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20,701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18,542</w:t>
            </w:r>
          </w:p>
        </w:tc>
        <w:tc>
          <w:tcPr>
            <w:tcW w:w="0" w:type="dxa"/>
            <w:vAlign w:val="bottom"/>
          </w:tcPr>
          <w:p>
            <w:pPr>
              <w:spacing w:after="0"/>
              <w:rPr>
                <w:sz w:val="1"/>
                <w:szCs w:val="1"/>
                <w:color w:val="auto"/>
              </w:rPr>
            </w:pPr>
          </w:p>
        </w:tc>
      </w:tr>
      <w:tr>
        <w:trPr>
          <w:trHeight w:val="238"/>
        </w:trPr>
        <w:tc>
          <w:tcPr>
            <w:tcW w:w="6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46,756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40,529</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Income tax benefit included in the provision for income taxes</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vMerge w:val="continue"/>
          </w:tcPr>
          <w:p>
            <w:pPr>
              <w:spacing w:after="0"/>
              <w:rPr>
                <w:sz w:val="17"/>
                <w:szCs w:val="17"/>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10,091</w:t>
            </w:r>
          </w:p>
        </w:tc>
        <w:tc>
          <w:tcPr>
            <w:tcW w:w="100" w:type="dxa"/>
            <w:vAlign w:val="bottom"/>
          </w:tcPr>
          <w:p>
            <w:pPr>
              <w:spacing w:after="0"/>
              <w:rPr>
                <w:sz w:val="17"/>
                <w:szCs w:val="17"/>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9,355</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Retirement Plan</w:t>
      </w:r>
    </w:p>
    <w:p>
      <w:pPr>
        <w:spacing w:after="0" w:line="246"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7"/>
          <w:szCs w:val="17"/>
          <w:color w:val="auto"/>
        </w:rPr>
        <w:t>We maintain a retirement plan covering all U.S. employees under Section 401(k) of the Internal Revenue Code. Company contributions to the plan are at the discretion of the Board of Directors and totaled approximately $5.2 million, $4.0 million, and $3.8 million for fiscal years 2025, 2024, and 2023,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Revenue Recognition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Timing of Revenue Recognition</w:t>
      </w:r>
    </w:p>
    <w:p>
      <w:pPr>
        <w:spacing w:after="0" w:line="246" w:lineRule="exact"/>
        <w:rPr>
          <w:sz w:val="20"/>
          <w:szCs w:val="20"/>
          <w:color w:val="auto"/>
        </w:rPr>
      </w:pPr>
    </w:p>
    <w:p>
      <w:pPr>
        <w:ind w:right="440"/>
        <w:spacing w:after="0" w:line="291" w:lineRule="auto"/>
        <w:rPr>
          <w:sz w:val="20"/>
          <w:szCs w:val="20"/>
          <w:color w:val="auto"/>
        </w:rPr>
      </w:pPr>
      <w:r>
        <w:rPr>
          <w:rFonts w:ascii="Times New Roman" w:cs="Times New Roman" w:eastAsia="Times New Roman" w:hAnsi="Times New Roman"/>
          <w:sz w:val="17"/>
          <w:szCs w:val="17"/>
          <w:color w:val="auto"/>
        </w:rPr>
        <w:t>Our revenues are derived from licensing our products, and from related services, which consist of maintenance, SaaS, and professional services. Information relating to revenue from external customers by revenue type is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Fiscal Year Ended</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November 30, 2025</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November 30, 2024</w:t>
            </w: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00"/>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obligations transferred at a point in time:</w:t>
            </w:r>
          </w:p>
        </w:tc>
        <w:tc>
          <w:tcPr>
            <w:tcW w:w="5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0"/>
        </w:trPr>
        <w:tc>
          <w:tcPr>
            <w:tcW w:w="6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Software licenses</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237,887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249,331</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220,789</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obligations transferred over time:</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6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Maintenance</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410,174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410,556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401,501</w:t>
            </w:r>
          </w:p>
        </w:tc>
      </w:tr>
      <w:tr>
        <w:trPr>
          <w:trHeight w:val="220"/>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SaaS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20,693</w:t>
            </w:r>
          </w:p>
        </w:tc>
      </w:tr>
      <w:tr>
        <w:trPr>
          <w:trHeight w:val="220"/>
        </w:trPr>
        <w:tc>
          <w:tcPr>
            <w:tcW w:w="6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Professional services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41,842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48,958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51,456</w:t>
            </w:r>
          </w:p>
        </w:tc>
      </w:tr>
      <w:tr>
        <w:trPr>
          <w:trHeight w:val="238"/>
        </w:trPr>
        <w:tc>
          <w:tcPr>
            <w:tcW w:w="6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Total revenue</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977,831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753,409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694,439</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Geographic Revenue</w:t>
      </w:r>
    </w:p>
    <w:p>
      <w:pPr>
        <w:spacing w:after="0" w:line="246"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7"/>
          <w:szCs w:val="17"/>
          <w:color w:val="auto"/>
        </w:rPr>
        <w:t>In the following table, revenue attributed to the United States includes sales to customers in the U.S. and sales to certain multinational organizations. Revenue from Canada, EMEA, Latin America, and the Asia Pacific region includes sales to customers in each region plus sales from the U.S. to distributors in these regions. Information relating to revenue from external customers from different geographical areas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Fiscal Year Ended</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November 30, 2025</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November 30, 2024</w:t>
            </w: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1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595,336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421,890</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380,672</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30,998</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EMEA</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280,908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222,862</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Latin America</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21,112</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51,490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40,822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38,795</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977,831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753,409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694,439</w:t>
            </w:r>
          </w:p>
        </w:tc>
      </w:tr>
      <w:tr>
        <w:trPr>
          <w:trHeight w:val="20"/>
        </w:trPr>
        <w:tc>
          <w:tcPr>
            <w:tcW w:w="6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color w:val="auto"/>
        </w:rPr>
        <w:t>No single customer, partner, or country outside of the U.S. has accounted for more than 10% of our consolidated revenue in any year presented.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 Balances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Unbilled Receivables and Contract Assets</w:t>
      </w:r>
    </w:p>
    <w:p>
      <w:pPr>
        <w:spacing w:after="0" w:line="248"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7"/>
          <w:szCs w:val="17"/>
          <w:color w:val="auto"/>
        </w:rPr>
        <w:t>The timing of revenue recognition may differ from the timing of customer billing. When revenue is recognized prior to billing and the right to the amount due from customers is conditioned only on the passage of time, we record an unbilled receivable on our consolidated balance sheets. Our multi-year term license arrangements, which are typically billed annually, result in revenue recognition in advance of billing and the recognition of unbilled receivables.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November 30, 2025, billing of our non-current unbilled receivables is expected to occur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
        </w:trPr>
        <w:tc>
          <w:tcPr>
            <w:tcW w:w="9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18,172</w:t>
            </w:r>
          </w:p>
        </w:tc>
      </w:tr>
      <w:tr>
        <w:trPr>
          <w:trHeight w:val="220"/>
        </w:trPr>
        <w:tc>
          <w:tcPr>
            <w:tcW w:w="9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6,868</w:t>
            </w:r>
          </w:p>
        </w:tc>
      </w:tr>
      <w:tr>
        <w:trPr>
          <w:trHeight w:val="22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4,910</w:t>
            </w:r>
          </w:p>
        </w:tc>
      </w:tr>
      <w:tr>
        <w:trPr>
          <w:trHeight w:val="213"/>
        </w:trPr>
        <w:tc>
          <w:tcPr>
            <w:tcW w:w="9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7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29,950</w:t>
            </w:r>
          </w:p>
        </w:tc>
      </w:tr>
      <w:tr>
        <w:trPr>
          <w:trHeight w:val="20"/>
        </w:trPr>
        <w:tc>
          <w:tcPr>
            <w:tcW w:w="9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color w:val="auto"/>
        </w:rPr>
        <w:t>Contract assets arise when revenue is recognized in excess of billings and the right to the amount due from customers is conditioned on something other than the passage of time, such as the completion of a related performance obligation. We did not have any net contract assets as of November 30, 2025 or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Revenue</w:t>
      </w:r>
    </w:p>
    <w:p>
      <w:pPr>
        <w:spacing w:after="0" w:line="248" w:lineRule="exact"/>
        <w:rPr>
          <w:sz w:val="20"/>
          <w:szCs w:val="20"/>
          <w:color w:val="auto"/>
        </w:rPr>
      </w:pPr>
    </w:p>
    <w:p>
      <w:pPr>
        <w:jc w:val="both"/>
        <w:ind w:right="280"/>
        <w:spacing w:after="0" w:line="272" w:lineRule="auto"/>
        <w:rPr>
          <w:sz w:val="20"/>
          <w:szCs w:val="20"/>
          <w:color w:val="auto"/>
        </w:rPr>
      </w:pPr>
      <w:r>
        <w:rPr>
          <w:rFonts w:ascii="Times New Roman" w:cs="Times New Roman" w:eastAsia="Times New Roman" w:hAnsi="Times New Roman"/>
          <w:sz w:val="17"/>
          <w:szCs w:val="17"/>
          <w:color w:val="auto"/>
        </w:rPr>
        <w:t>Deferred revenue is recorded when revenue is recognized subsequent to customer invoicing. Deferred revenue expected to be recognized as revenue more than one year subsequent to the balance sheet date is included in long-term liabilities on the consolidated balance sheets. Our deferred revenue balance is primarily made up of deferred maintenance and deferred revenue related to our SaaS offerings.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November 30, 2025, the changes in deferred revenue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
        </w:trPr>
        <w:tc>
          <w:tcPr>
            <w:tcW w:w="9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1, 2023</w:t>
            </w:r>
          </w:p>
        </w:tc>
        <w:tc>
          <w:tcPr>
            <w:tcW w:w="6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295,036</w:t>
            </w:r>
          </w:p>
        </w:tc>
      </w:tr>
      <w:tr>
        <w:trPr>
          <w:trHeight w:val="220"/>
        </w:trPr>
        <w:tc>
          <w:tcPr>
            <w:tcW w:w="9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Billings and other</w:t>
            </w: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766,626</w:t>
            </w:r>
          </w:p>
        </w:tc>
      </w:tr>
      <w:tr>
        <w:trPr>
          <w:trHeight w:val="220"/>
        </w:trPr>
        <w:tc>
          <w:tcPr>
            <w:tcW w:w="9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Acquired from business combinations</w:t>
            </w: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96,159</w:t>
            </w:r>
          </w:p>
        </w:tc>
      </w:tr>
      <w:tr>
        <w:trPr>
          <w:trHeight w:val="220"/>
        </w:trPr>
        <w:tc>
          <w:tcPr>
            <w:tcW w:w="9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Revenue recognized that was deferred in prior periods</w:t>
            </w: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(270,965)</w:t>
            </w:r>
          </w:p>
        </w:tc>
      </w:tr>
      <w:tr>
        <w:trPr>
          <w:trHeight w:val="220"/>
        </w:trPr>
        <w:tc>
          <w:tcPr>
            <w:tcW w:w="9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Revenue recognized from current period arrangements</w:t>
            </w:r>
          </w:p>
        </w:tc>
        <w:tc>
          <w:tcPr>
            <w:tcW w:w="6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(482,444)</w:t>
            </w:r>
          </w:p>
        </w:tc>
      </w:tr>
      <w:tr>
        <w:trPr>
          <w:trHeight w:val="213"/>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Balance, November 30, 2024</w:t>
            </w:r>
          </w:p>
        </w:tc>
        <w:tc>
          <w:tcPr>
            <w:tcW w:w="6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404,412</w:t>
            </w:r>
          </w:p>
        </w:tc>
      </w:tr>
      <w:tr>
        <w:trPr>
          <w:trHeight w:val="213"/>
        </w:trPr>
        <w:tc>
          <w:tcPr>
            <w:tcW w:w="9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Billings and other</w:t>
            </w: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998,498</w:t>
            </w:r>
          </w:p>
        </w:tc>
      </w:tr>
      <w:tr>
        <w:trPr>
          <w:trHeight w:val="220"/>
        </w:trPr>
        <w:tc>
          <w:tcPr>
            <w:tcW w:w="9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Revenue recognized that was deferred in prior periods</w:t>
            </w: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(372,029)</w:t>
            </w:r>
          </w:p>
        </w:tc>
      </w:tr>
      <w:tr>
        <w:trPr>
          <w:trHeight w:val="220"/>
        </w:trPr>
        <w:tc>
          <w:tcPr>
            <w:tcW w:w="9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Revenue recognized from current period arrangements</w:t>
            </w:r>
          </w:p>
        </w:tc>
        <w:tc>
          <w:tcPr>
            <w:tcW w:w="6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(605,802)</w:t>
            </w:r>
          </w:p>
        </w:tc>
      </w:tr>
      <w:tr>
        <w:trPr>
          <w:trHeight w:val="213"/>
        </w:trPr>
        <w:tc>
          <w:tcPr>
            <w:tcW w:w="9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November 30, 2025</w:t>
            </w:r>
          </w:p>
        </w:tc>
        <w:tc>
          <w:tcPr>
            <w:tcW w:w="6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425,079</w:t>
            </w:r>
          </w:p>
        </w:tc>
      </w:tr>
      <w:tr>
        <w:trPr>
          <w:trHeight w:val="20"/>
        </w:trPr>
        <w:tc>
          <w:tcPr>
            <w:tcW w:w="9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Transaction price allocated to remaining performance obligations represents contracted revenue that has not yet been recognized, which includes deferred revenue and amounts that will be invoiced and recognized as revenue in future periods. As of November 30, 2025, transaction price allocated to remaining performance obligations was $536.3 million. We expect to recognize approximately 74% of the revenue within the next year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color w:val="auto"/>
        </w:rPr>
        <w:t>Deferred Contract Costs</w:t>
      </w:r>
    </w:p>
    <w:p>
      <w:pPr>
        <w:spacing w:after="0" w:line="24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Deferred contract costs, which include certain sales incentive programs, are incremental and recoverable costs of obtaining a contract with a customer. Incremental costs of obtaining a contract with a customer are recognized as an asset if the expected benefit of those costs is longer than one year. We have applied the practical expedient to expense costs as incurred for costs to obtain a contract with a customer when the amortization period would have been one year or less. These costs include a large majority of our sales incentive programs as we have determined that annual compensation is commensurate with annual sales activities.</w:t>
      </w:r>
    </w:p>
    <w:p>
      <w:pPr>
        <w:spacing w:after="0" w:line="19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Certain of our sales incentive programs meet the requirements to be capitalized. Depending upon the sales incentive program and the related revenue arrangement, such capitalized costs are amortized over the longer of (i) the product life, which is generally three to five years; or (ii) the term of the related revenue contract. We determined that a three to five year product life represents the period of benefit that we receive from these incremental costs based on both qualitative and quantitative factors, which include customer contracts, industry norms, and product upgrades. Total deferred contract costs were $6.5 million, $6.7 million, and $7.6 million as of November 30, 2025, 2024, and 2023, respectively, and are included in other current assets and other assets on our consolidated balance sheets. Amortization of deferred contract costs is included in sales and marketing expense on our consolidated statement of operations and was minimal in all periods presented.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Restructuring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summary of activity for all of the restructuring actions, with material actions detailed further below:</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300" w:type="dxa"/>
            <w:vAlign w:val="bottom"/>
          </w:tcPr>
          <w:p>
            <w:pPr>
              <w:spacing w:after="0"/>
              <w:rPr>
                <w:sz w:val="17"/>
                <w:szCs w:val="17"/>
                <w:color w:val="auto"/>
              </w:rPr>
            </w:pPr>
          </w:p>
        </w:tc>
        <w:tc>
          <w:tcPr>
            <w:tcW w:w="16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Excess Facilities and</w:t>
            </w: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Employee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3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7"/>
                <w:szCs w:val="17"/>
                <w:color w:val="auto"/>
              </w:rPr>
              <w:t>Severance and</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Other Costs</w:t>
            </w: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Related Benefits</w:t>
            </w:r>
          </w:p>
        </w:tc>
        <w:tc>
          <w:tcPr>
            <w:tcW w:w="360" w:type="dxa"/>
            <w:vAlign w:val="bottom"/>
          </w:tcPr>
          <w:p>
            <w:pPr>
              <w:spacing w:after="0"/>
              <w:rPr>
                <w:sz w:val="20"/>
                <w:szCs w:val="20"/>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3"/>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1, 2022</w:t>
            </w: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w:t>
            </w:r>
          </w:p>
        </w:tc>
        <w:tc>
          <w:tcPr>
            <w:tcW w:w="0" w:type="dxa"/>
            <w:vAlign w:val="bottom"/>
          </w:tcPr>
          <w:p>
            <w:pPr>
              <w:spacing w:after="0"/>
              <w:rPr>
                <w:sz w:val="1"/>
                <w:szCs w:val="1"/>
                <w:color w:val="auto"/>
              </w:rPr>
            </w:pPr>
          </w:p>
        </w:tc>
      </w:t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incurred</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8,407</w:t>
            </w:r>
          </w:p>
        </w:tc>
        <w:tc>
          <w:tcPr>
            <w:tcW w:w="0" w:type="dxa"/>
            <w:vAlign w:val="bottom"/>
          </w:tcPr>
          <w:p>
            <w:pPr>
              <w:spacing w:after="0"/>
              <w:rPr>
                <w:sz w:val="1"/>
                <w:szCs w:val="1"/>
                <w:color w:val="auto"/>
              </w:rPr>
            </w:pPr>
          </w:p>
        </w:tc>
      </w:tr>
      <w:tr>
        <w:trPr>
          <w:trHeight w:val="22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disbursements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(7,103)</w:t>
            </w:r>
          </w:p>
        </w:tc>
        <w:tc>
          <w:tcPr>
            <w:tcW w:w="0" w:type="dxa"/>
            <w:vAlign w:val="bottom"/>
          </w:tcPr>
          <w:p>
            <w:pPr>
              <w:spacing w:after="0"/>
              <w:rPr>
                <w:sz w:val="1"/>
                <w:szCs w:val="1"/>
                <w:color w:val="auto"/>
              </w:rPr>
            </w:pPr>
          </w:p>
        </w:tc>
      </w:t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Translation adjustments and other</w:t>
            </w: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3"/>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November 30, 2023</w:t>
            </w: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5,187</w:t>
            </w:r>
          </w:p>
        </w:tc>
        <w:tc>
          <w:tcPr>
            <w:tcW w:w="0" w:type="dxa"/>
            <w:vAlign w:val="bottom"/>
          </w:tcPr>
          <w:p>
            <w:pPr>
              <w:spacing w:after="0"/>
              <w:rPr>
                <w:sz w:val="1"/>
                <w:szCs w:val="1"/>
                <w:color w:val="auto"/>
              </w:rPr>
            </w:pPr>
          </w:p>
        </w:tc>
      </w:t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incurred</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10,454</w:t>
            </w:r>
          </w:p>
        </w:tc>
        <w:tc>
          <w:tcPr>
            <w:tcW w:w="0" w:type="dxa"/>
            <w:vAlign w:val="bottom"/>
          </w:tcPr>
          <w:p>
            <w:pPr>
              <w:spacing w:after="0"/>
              <w:rPr>
                <w:sz w:val="1"/>
                <w:szCs w:val="1"/>
                <w:color w:val="auto"/>
              </w:rPr>
            </w:pPr>
          </w:p>
        </w:tc>
      </w:tr>
      <w:tr>
        <w:trPr>
          <w:trHeight w:val="22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disbursements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(5,601)</w:t>
            </w:r>
          </w:p>
        </w:tc>
        <w:tc>
          <w:tcPr>
            <w:tcW w:w="0" w:type="dxa"/>
            <w:vAlign w:val="bottom"/>
          </w:tcPr>
          <w:p>
            <w:pPr>
              <w:spacing w:after="0"/>
              <w:rPr>
                <w:sz w:val="1"/>
                <w:szCs w:val="1"/>
                <w:color w:val="auto"/>
              </w:rPr>
            </w:pPr>
          </w:p>
        </w:tc>
      </w:t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Translation adjustments and other</w:t>
            </w: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3"/>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November 30, 2024</w:t>
            </w: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10,034</w:t>
            </w:r>
          </w:p>
        </w:tc>
        <w:tc>
          <w:tcPr>
            <w:tcW w:w="0" w:type="dxa"/>
            <w:vAlign w:val="bottom"/>
          </w:tcPr>
          <w:p>
            <w:pPr>
              <w:spacing w:after="0"/>
              <w:rPr>
                <w:sz w:val="1"/>
                <w:szCs w:val="1"/>
                <w:color w:val="auto"/>
              </w:rPr>
            </w:pPr>
          </w:p>
        </w:tc>
      </w:t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incurred</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13,109</w:t>
            </w:r>
          </w:p>
        </w:tc>
        <w:tc>
          <w:tcPr>
            <w:tcW w:w="0" w:type="dxa"/>
            <w:vAlign w:val="bottom"/>
          </w:tcPr>
          <w:p>
            <w:pPr>
              <w:spacing w:after="0"/>
              <w:rPr>
                <w:sz w:val="1"/>
                <w:szCs w:val="1"/>
                <w:color w:val="auto"/>
              </w:rPr>
            </w:pPr>
          </w:p>
        </w:tc>
      </w:tr>
      <w:tr>
        <w:trPr>
          <w:trHeight w:val="22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disbursements and other</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(17,304)</w:t>
            </w:r>
          </w:p>
        </w:tc>
        <w:tc>
          <w:tcPr>
            <w:tcW w:w="0" w:type="dxa"/>
            <w:vAlign w:val="bottom"/>
          </w:tcPr>
          <w:p>
            <w:pPr>
              <w:spacing w:after="0"/>
              <w:rPr>
                <w:sz w:val="1"/>
                <w:szCs w:val="1"/>
                <w:color w:val="auto"/>
              </w:rPr>
            </w:pP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November 30, 2025</w:t>
            </w: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5,839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Cash disbursements for expenses incurred from restructuring actions are expected to be made through fiscal year 2027. Accordingly, the balance of the restructuring reserve is included in short-term and long-term operating lease liabilities, and other accrued current liabilities on the consolidated balance sheets at November 30, 2025. We expect to incur additional expenses as part of the 2025 action during fiscal year 2026, but we do not expect these costs to be significant.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Restructurings</w:t>
      </w:r>
    </w:p>
    <w:p>
      <w:pPr>
        <w:spacing w:after="0" w:line="24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During the fourth quarter of fiscal year 2025, we restructured our operations to optimize efficiency and sustainability, while ensuring alignment with the company's long-term financial objectives. In connection with this restructuring, we reduced our global workforce by 4%. These workforce reductions occurred within all functions and across most geographies in which we operate. Restructuring expenses are related to employee costs, including severance, health benefits, and outplacement services. For the fiscal year ended November 30, 2025, we incurred expenses of $3.8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activity for this restructuring action is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5"/>
        </w:trPr>
        <w:tc>
          <w:tcPr>
            <w:tcW w:w="7380" w:type="dxa"/>
            <w:vAlign w:val="bottom"/>
          </w:tcPr>
          <w:p>
            <w:pPr>
              <w:spacing w:after="0"/>
              <w:rPr>
                <w:sz w:val="17"/>
                <w:szCs w:val="17"/>
                <w:color w:val="auto"/>
              </w:rPr>
            </w:pPr>
          </w:p>
        </w:tc>
        <w:tc>
          <w:tcPr>
            <w:tcW w:w="19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Employee Severance and</w:t>
            </w: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3"/>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Related Benefits</w:t>
            </w:r>
          </w:p>
        </w:tc>
        <w:tc>
          <w:tcPr>
            <w:tcW w:w="440" w:type="dxa"/>
            <w:vAlign w:val="bottom"/>
          </w:tcPr>
          <w:p>
            <w:pPr>
              <w:spacing w:after="0"/>
              <w:rPr>
                <w:sz w:val="20"/>
                <w:szCs w:val="20"/>
                <w:color w:val="auto"/>
              </w:rPr>
            </w:pPr>
          </w:p>
        </w:tc>
        <w:tc>
          <w:tcPr>
            <w:tcW w:w="14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rPr>
              <w:t>Total</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1, 2024</w:t>
            </w: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incurred</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3,796</w:t>
            </w:r>
          </w:p>
        </w:tc>
      </w:tr>
      <w:tr>
        <w:trPr>
          <w:trHeight w:val="22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disbursements and other</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November 30, 2025</w:t>
            </w: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2,841</w:t>
            </w: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Restructurings</w:t>
      </w:r>
    </w:p>
    <w:p>
      <w:pPr>
        <w:spacing w:after="0" w:line="24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During the fourth quarter of fiscal year 2024, we restructured our operations in connection with the acquisition of ShareFile and to streamline our organization to better align with our strategy. This restructuring resulted in a reduction in redundant positions and occurred within all functions and across most geographies in which we operate. Restructuring expenses are related to employee costs, including severance, health benefits, and outplacement services. For the fiscal years ended November 30, 2025 and 2024, we incurred expenses of $8.2 million and $5.7 million,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activity for this restructuring action is as follows: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6340" w:type="dxa"/>
            <w:vAlign w:val="bottom"/>
          </w:tcPr>
          <w:p>
            <w:pPr>
              <w:spacing w:after="0"/>
              <w:rPr>
                <w:sz w:val="24"/>
                <w:szCs w:val="24"/>
                <w:color w:val="auto"/>
              </w:rPr>
            </w:pPr>
          </w:p>
        </w:tc>
        <w:tc>
          <w:tcPr>
            <w:tcW w:w="16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Excess Facilities and</w:t>
            </w:r>
          </w:p>
        </w:tc>
        <w:tc>
          <w:tcPr>
            <w:tcW w:w="14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Employee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34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7"/>
                <w:szCs w:val="17"/>
                <w:color w:val="auto"/>
              </w:rPr>
              <w:t>Severance and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Other Costs</w:t>
            </w:r>
          </w:p>
        </w:tc>
        <w:tc>
          <w:tcPr>
            <w:tcW w:w="14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Related Benefits</w:t>
            </w:r>
          </w:p>
        </w:tc>
        <w:tc>
          <w:tcPr>
            <w:tcW w:w="360" w:type="dxa"/>
            <w:vAlign w:val="bottom"/>
          </w:tcPr>
          <w:p>
            <w:pPr>
              <w:spacing w:after="0"/>
              <w:rPr>
                <w:sz w:val="20"/>
                <w:szCs w:val="20"/>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1, 2023</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incurred</w:t>
            </w: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5,717</w:t>
            </w: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disbursements</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0" w:type="dxa"/>
            <w:vAlign w:val="bottom"/>
          </w:tcPr>
          <w:p>
            <w:pPr>
              <w:spacing w:after="0"/>
              <w:rPr>
                <w:sz w:val="1"/>
                <w:szCs w:val="1"/>
                <w:color w:val="auto"/>
              </w:rPr>
            </w:pP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Translation adjustments and other</w:t>
            </w: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November 30, 2024</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5,206</w:t>
            </w:r>
          </w:p>
        </w:tc>
        <w:tc>
          <w:tcPr>
            <w:tcW w:w="0" w:type="dxa"/>
            <w:vAlign w:val="bottom"/>
          </w:tcPr>
          <w:p>
            <w:pPr>
              <w:spacing w:after="0"/>
              <w:rPr>
                <w:sz w:val="1"/>
                <w:szCs w:val="1"/>
                <w:color w:val="auto"/>
              </w:rPr>
            </w:pP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incurred</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8,160</w:t>
            </w: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disbursements and other</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(12,457)</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November 30, 2025</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Restructurings</w:t>
      </w:r>
    </w:p>
    <w:p>
      <w:pPr>
        <w:spacing w:after="0" w:line="23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7"/>
          <w:szCs w:val="17"/>
          <w:color w:val="auto"/>
        </w:rPr>
        <w:t>During the fourth quarter of fiscal year 2023, we restructured our operations to realign our business and strategic priorities. In connection with this restructuring, we reduced our global workforce by 2%. These workforce reductions occurred within all functions and across most geographies in which we operate. Restructuring expenses are related to employee costs, including severance, health benefits, and outplacement services. For the fiscal years ended November 30, 2025, 2024, and 2023, we incurred expenses of $0.1 million, $0.9 million, and $1.7 million, respectively.</w:t>
      </w:r>
    </w:p>
    <w:p>
      <w:pPr>
        <w:spacing w:after="0" w:line="19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color w:val="auto"/>
        </w:rPr>
        <w:t>During the first quarter of fiscal year 2023, we restructured our operations in connection with the acquisition of MarkLogic. This restructuring resulted in a reduction in redundant positions, primarily within administrative functions of MarkLogic. Additionally, in 2024, we terminated MarkLogic leases. For the fiscal years ended November 30, 2025, 2024, and 2023, we incurred expenses of $0.2 million, $2.9 million, and $5.7 million, respectively.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14: Income Taxes</w:t>
            </w: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income before income taxes are as follows:</w:t>
            </w: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4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Fiscal Year Ended</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November 30, 2025</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November 30, 2024</w:t>
            </w: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November 30, 2023</w:t>
            </w:r>
          </w:p>
        </w:tc>
        <w:tc>
          <w:tcPr>
            <w:tcW w:w="0" w:type="dxa"/>
            <w:vAlign w:val="bottom"/>
          </w:tcPr>
          <w:p>
            <w:pPr>
              <w:spacing w:after="0"/>
              <w:rPr>
                <w:sz w:val="1"/>
                <w:szCs w:val="1"/>
                <w:color w:val="auto"/>
              </w:rPr>
            </w:pPr>
          </w:p>
        </w:tc>
      </w:tr>
      <w:tr>
        <w:trPr>
          <w:trHeight w:val="21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1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59,873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73,746</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70,659</w:t>
            </w:r>
          </w:p>
        </w:tc>
        <w:tc>
          <w:tcPr>
            <w:tcW w:w="0" w:type="dxa"/>
            <w:vAlign w:val="bottom"/>
          </w:tcPr>
          <w:p>
            <w:pPr>
              <w:spacing w:after="0"/>
              <w:rPr>
                <w:sz w:val="1"/>
                <w:szCs w:val="1"/>
                <w:color w:val="auto"/>
              </w:rPr>
            </w:pPr>
          </w:p>
        </w:tc>
      </w:tr>
      <w:tr>
        <w:trPr>
          <w:trHeight w:val="22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13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21,755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20,518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8,998</w:t>
            </w:r>
          </w:p>
        </w:tc>
        <w:tc>
          <w:tcPr>
            <w:tcW w:w="0" w:type="dxa"/>
            <w:vAlign w:val="bottom"/>
          </w:tcPr>
          <w:p>
            <w:pPr>
              <w:spacing w:after="0"/>
              <w:rPr>
                <w:sz w:val="1"/>
                <w:szCs w:val="1"/>
                <w:color w:val="auto"/>
              </w:rPr>
            </w:pP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94,264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79,657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ind w:right="534"/>
              <w:spacing w:after="0"/>
              <w:rPr>
                <w:sz w:val="20"/>
                <w:szCs w:val="20"/>
                <w:color w:val="auto"/>
              </w:rPr>
            </w:pPr>
            <w:r>
              <w:rPr>
                <w:rFonts w:ascii="Times New Roman" w:cs="Times New Roman" w:eastAsia="Times New Roman" w:hAnsi="Times New Roman"/>
                <w:sz w:val="17"/>
                <w:szCs w:val="17"/>
                <w:color w:val="auto"/>
              </w:rPr>
              <w:t>66</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3"/>
        </w:trPr>
        <w:tc>
          <w:tcPr>
            <w:tcW w:w="49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9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6"/>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The provision for income taxes is comprised of the following:</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517"/>
        </w:trPr>
        <w:tc>
          <w:tcPr>
            <w:tcW w:w="63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Fiscal Year Ended</w:t>
            </w: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November 30, 2025</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November 30, 2024</w:t>
            </w: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00"/>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5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0"/>
        </w:trPr>
        <w:tc>
          <w:tcPr>
            <w:tcW w:w="6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Federal</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18,658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23,768</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28,905</w:t>
            </w:r>
          </w:p>
        </w:tc>
      </w:tr>
      <w:tr>
        <w:trPr>
          <w:trHeight w:val="220"/>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State</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4,373</w:t>
            </w:r>
          </w:p>
        </w:tc>
      </w:tr>
      <w:tr>
        <w:trPr>
          <w:trHeight w:val="220"/>
        </w:trPr>
        <w:tc>
          <w:tcPr>
            <w:tcW w:w="6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4,823</w:t>
            </w:r>
          </w:p>
        </w:tc>
      </w:tr>
      <w:tr>
        <w:trPr>
          <w:trHeight w:val="21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31,924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33,576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38,101</w:t>
            </w:r>
          </w:p>
        </w:tc>
      </w:tr>
      <w:tr>
        <w:trPr>
          <w:trHeight w:val="20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0"/>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Federal</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(22,763)</w:t>
            </w:r>
          </w:p>
        </w:tc>
      </w:tr>
      <w:tr>
        <w:trPr>
          <w:trHeight w:val="220"/>
        </w:trPr>
        <w:tc>
          <w:tcPr>
            <w:tcW w:w="6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State</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w:t>
            </w:r>
          </w:p>
        </w:tc>
      </w:tr>
      <w:tr>
        <w:trPr>
          <w:trHeight w:val="220"/>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(4,286)</w:t>
            </w: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(23,429)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(28,641)</w:t>
            </w:r>
          </w:p>
        </w:tc>
      </w:tr>
      <w:tr>
        <w:trPr>
          <w:trHeight w:val="23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25,826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income taxes incurred at the U.S. federal statutory rate compared to the effective tax rate is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Fiscal Year Ended</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November 30, 2025</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November 30, 2024</w:t>
            </w: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1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at U.S. federal statutory rate</w:t>
            </w: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19,795</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16,728</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rate differences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Effects of foreign operations included in U.S. federal provision</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income taxes, net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1,814</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credits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Nondeductible stock-based compensation</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and entertainment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subject to 162(m)</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Uncertain tax positions and tax settlements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excess tax benefit from stock-based compensation plans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intangible low tax inclusion</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derived intangible deduction</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(8,297)</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on unremitted earnings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on intercompany restructuring</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25,826</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9,460</w:t>
            </w:r>
          </w:p>
        </w:tc>
      </w:tr>
      <w:tr>
        <w:trPr>
          <w:trHeight w:val="20"/>
        </w:trPr>
        <w:tc>
          <w:tcPr>
            <w:tcW w:w="6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deferred tax assets and liabilities are as follows:</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97"/>
        </w:trPr>
        <w:tc>
          <w:tcPr>
            <w:tcW w:w="7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November 30, 2025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November 30, 2024</w:t>
            </w:r>
          </w:p>
        </w:tc>
      </w:tr>
      <w:tr>
        <w:trPr>
          <w:trHeight w:val="20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20"/>
        </w:trPr>
        <w:tc>
          <w:tcPr>
            <w:tcW w:w="7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20"/>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compensation</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6,919</w:t>
            </w:r>
          </w:p>
        </w:tc>
      </w:tr>
      <w:tr>
        <w:trPr>
          <w:trHeight w:val="220"/>
        </w:trPr>
        <w:tc>
          <w:tcPr>
            <w:tcW w:w="7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liabilities and other</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5,638</w:t>
            </w:r>
          </w:p>
        </w:tc>
      </w:tr>
      <w:tr>
        <w:trPr>
          <w:trHeight w:val="220"/>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40,199</w:t>
            </w:r>
          </w:p>
        </w:tc>
      </w:tr>
      <w:tr>
        <w:trPr>
          <w:trHeight w:val="220"/>
        </w:trPr>
        <w:tc>
          <w:tcPr>
            <w:tcW w:w="7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10,138</w:t>
            </w:r>
          </w:p>
        </w:tc>
      </w:tr>
      <w:tr>
        <w:trPr>
          <w:trHeight w:val="220"/>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Original issue discount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12,055</w:t>
            </w:r>
          </w:p>
        </w:tc>
      </w:tr>
      <w:tr>
        <w:trPr>
          <w:trHeight w:val="220"/>
        </w:trPr>
        <w:tc>
          <w:tcPr>
            <w:tcW w:w="7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Tax credit and loss carryforwards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23,654</w:t>
            </w:r>
          </w:p>
        </w:tc>
      </w:tr>
      <w:tr>
        <w:trPr>
          <w:trHeight w:val="220"/>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expense carryforward</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6,335</w:t>
            </w:r>
          </w:p>
        </w:tc>
      </w:tr>
      <w:tr>
        <w:trPr>
          <w:trHeight w:val="220"/>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Capitalized research and development</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36,006</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deferred tax assets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141,107</w:t>
            </w:r>
          </w:p>
        </w:tc>
      </w:tr>
      <w:tr>
        <w:trPr>
          <w:trHeight w:val="220"/>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w:t>
            </w:r>
          </w:p>
        </w:tc>
      </w:tr>
      <w:tr>
        <w:trPr>
          <w:trHeight w:val="21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137,903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139,451</w:t>
            </w:r>
          </w:p>
        </w:tc>
      </w:tr>
      <w:tr>
        <w:trPr>
          <w:trHeight w:val="20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20"/>
        </w:trPr>
        <w:tc>
          <w:tcPr>
            <w:tcW w:w="7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(27,646)</w:t>
            </w:r>
          </w:p>
        </w:tc>
      </w:tr>
      <w:tr>
        <w:trPr>
          <w:trHeight w:val="220"/>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Right-of-use lease assets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(5,200)</w:t>
            </w:r>
          </w:p>
        </w:tc>
      </w:tr>
      <w:tr>
        <w:trPr>
          <w:trHeight w:val="220"/>
        </w:trPr>
        <w:tc>
          <w:tcPr>
            <w:tcW w:w="7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(34,385)</w:t>
            </w:r>
          </w:p>
        </w:tc>
      </w:tr>
      <w:tr>
        <w:trPr>
          <w:trHeight w:val="220"/>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Unremitted earnings of foreign subsidiaries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(13,674)</w:t>
            </w:r>
          </w:p>
        </w:tc>
      </w:tr>
      <w:tr>
        <w:trPr>
          <w:trHeight w:val="220"/>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Prepaid expenses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(4,646)</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(61,619)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(85,551)</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76,284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53,900</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On July 4, 2025, the OBBBA was enacted into law, introducing significant changes to the U.S. federal income tax system. The legislation contains key modifications to the provisions of the 2017 Tax Cuts and Jobs Act and has multiple effective dates. There is no material impact to the tax provision for fiscal 2025. The majority of the legislative provisions become effective in our fiscal years 2026 and 2027.</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7"/>
          <w:szCs w:val="17"/>
          <w:color w:val="auto"/>
        </w:rPr>
        <w:t>The valuation allowance primarily applies to net operating loss carryforwards in foreign jurisdictions under conditions where realization is not more likely than not. The $0.2 million decrease in the valuation allowance during fiscal year 2025 primarily relates to the release of the valuation allowance on certain foreign losses.</w:t>
      </w:r>
    </w:p>
    <w:p>
      <w:pPr>
        <w:spacing w:after="0" w:line="18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color w:val="auto"/>
        </w:rPr>
        <w:t>At November 30, 2025, we have federal and foreign net operating loss carryforwards of $23.7 million expiring on various dates through 2035 and $27.5 million that do not expire. In addition, we have state net operating loss carryforwards of $40.0 million expiring on various dates through 2043 and $16.1 million that do not expire. At November 30, 2025, we have state tax credit carryforwards of approximately $2.0 million expiring on various dates through 2040 and $3.4 million that may be carried forward indefinitely. In addition, we have federal tax credit carryforwards of approximately $5.6 million expiring on various dates through 2039.</w:t>
      </w:r>
    </w:p>
    <w:p>
      <w:pPr>
        <w:spacing w:after="0" w:line="18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During the fourth quarter of 2024, we made the determination that a substantial portion of unremitted foreign earnings are no longer indefinitely reinvested. We made the decision as a direct result of changes in business needs related to the acquisition of ShareFile. As a result of the acquisition, the Company plans to utilize worldwide cash based on the needs of the parent entity. These amounts will be repatriated as needed. At November 30, 2025, we maintain a deferred tax liability of $7.9 million for the U.S. federal, state, and foreign withholding taxes expected to be imposed upon the repatriation of unremitted foreign earnings that are not considered indefinitely reinvested. There are approximately $29.6 million of unremitted foreign earnings which are deemed to be indefinitely reinvested to support the working capital requirements of our foreign subsidiaries. A determination of the deferred tax liability on this amount is not practicable due to the complexities, variables, and assumptions inherent in the hypothetical calculations.</w:t>
      </w:r>
    </w:p>
    <w:p>
      <w:pPr>
        <w:spacing w:after="0" w:line="213" w:lineRule="exact"/>
        <w:rPr>
          <w:sz w:val="20"/>
          <w:szCs w:val="20"/>
          <w:color w:val="auto"/>
        </w:rPr>
      </w:pPr>
    </w:p>
    <w:p>
      <w:pPr>
        <w:jc w:val="both"/>
        <w:ind w:right="200"/>
        <w:spacing w:after="0" w:line="272" w:lineRule="auto"/>
        <w:rPr>
          <w:sz w:val="20"/>
          <w:szCs w:val="20"/>
          <w:color w:val="auto"/>
        </w:rPr>
      </w:pPr>
      <w:r>
        <w:rPr>
          <w:rFonts w:ascii="Times New Roman" w:cs="Times New Roman" w:eastAsia="Times New Roman" w:hAnsi="Times New Roman"/>
          <w:sz w:val="17"/>
          <w:szCs w:val="17"/>
          <w:color w:val="auto"/>
        </w:rPr>
        <w:t>As of November 30, 2025, the total amount of unrecognized tax benefits was $4.8 million, of which $0.9 million was recorded in other noncurrent liabilities on the consolidated balance sheet and $3.9 million as a reduction of deferred tax assets, principally related to U.S net operating loss carry-forwards and federal and state research and development tax credits.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6"/>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A reconciliation of the balance of our unrecognized tax benefits is as follows: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6"/>
        </w:trPr>
        <w:tc>
          <w:tcPr>
            <w:tcW w:w="63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Fiscal Year Ended</w:t>
            </w: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November 30, 2025</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November 30, 2024</w:t>
            </w: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1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beginning of year</w:t>
            </w: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5,172</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5,276</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positions related to a prior period</w:t>
            </w:r>
          </w:p>
        </w:tc>
        <w:tc>
          <w:tcPr>
            <w:tcW w:w="6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positions acquired</w:t>
            </w: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Settlements with tax authorities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Lapses due to expiration of the statute of limitations</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end of year</w:t>
            </w: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5,234</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5,172</w:t>
            </w:r>
          </w:p>
        </w:tc>
      </w:tr>
      <w:tr>
        <w:trPr>
          <w:trHeight w:val="20"/>
        </w:trPr>
        <w:tc>
          <w:tcPr>
            <w:tcW w:w="6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recognized, all amounts of unrecognized tax benefits would affect the effective tax rate.</w:t>
      </w:r>
    </w:p>
    <w:p>
      <w:pPr>
        <w:spacing w:after="0" w:line="2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recognize interest and penalties related to uncertain tax positions as a component of our provision for income taxes. There was a minimal amount of estimated interest and penalties recorded in the provision for income taxes in the periods presented. We have accrued $0.3 million of estimated interest and penalties for both periods ending November 30, 2025 and 2024, respectively. We do not expect any significant changes to the amount of unrecognized tax benefits in the next twelve months.</w:t>
      </w:r>
    </w:p>
    <w:p>
      <w:pPr>
        <w:spacing w:after="0" w:line="20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Our federal income tax returns have been examined or are closed by statute for all years prior to fiscal year 2022. Our state income tax returns have been examined or are closed by statute for all years prior to fiscal year 2021, and we are no longer subject to audit for those periods. Tax authorities for certain non-U.S. jurisdictions are also examining tax returns for various years dating back to 2016 and the Company does not expect the results of these examinations to be material to our consolidated balance sheets, cash flows, or statements of operations. With some exceptions, we are generally no longer subject to tax examinations in non-U.S. jurisdictions for years prior to fiscal year 2020.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Earnings Per Share</w:t>
      </w:r>
    </w:p>
    <w:p>
      <w:pPr>
        <w:spacing w:after="0" w:line="24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We compute basic earnings per share using the weighted average number of common shares outstanding. We compute diluted earnings per share using the weighted average number of common shares outstanding plus the effect of outstanding dilutive stock options, restricted stock units, and deferred stock units, using the treasury stock method and the effect of our convertible debt using the if-converted method. The following table sets forth the calculation of basic and diluted earnings per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Fiscal Year Ended</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November 30, 2025</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November 30, 2024</w:t>
            </w: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1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68,438</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70,197</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43,456</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dilution from common stock equivalents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w:t>
            </w:r>
          </w:p>
        </w:tc>
      </w:tr>
      <w:tr>
        <w:trPr>
          <w:trHeight w:val="22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dilution from if-converted convertible notes</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shares outstanding</w:t>
            </w:r>
          </w:p>
        </w:tc>
        <w:tc>
          <w:tcPr>
            <w:tcW w:w="5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44,427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6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r>
    </w:tbl>
    <w:p>
      <w:pPr>
        <w:spacing w:after="0" w:line="292"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7"/>
          <w:szCs w:val="17"/>
          <w:color w:val="auto"/>
        </w:rPr>
        <w:t>We excluded stock awards representing approximately 1,088,000 shares, 699,000 shares, and 297,000 shares of common stock from the calculation of diluted earnings per share in the fiscal years ended November 30, 2025, 2024, and 2023, respectively, because these awards were anti-dilutive.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dilutive impact of the convertible debt on diluted earnings per share is measured using the if-converted method. However, because the principal amount will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settled in cash, the dilutive impact of applying the if-converted method is limited to the in-the-money portion, if any. During the fiscal years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30, 2025, 2024, and 2023, we included the 2026 Notes in our diluted earnings per share calculation. During the fiscal years ended November 30, 2025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2024, we excluded the 2030 Notes in our diluted earnings per share calculation because the conversion feature in the 2030 Notes was out of the money.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color w:val="auto"/>
        </w:rPr>
        <w:t>Note 16: Segment Information and Geographic Information</w:t>
      </w:r>
    </w:p>
    <w:p>
      <w:pPr>
        <w:spacing w:after="0" w:line="2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Operating segments are components of an enterprise that engages in business activities for which discrete financial information is available and regularly reviewed by the chief operating decision maker ("CODM") in deciding how to allocate resources and assess performance. Our CODM is our Chief Executive Officer.</w:t>
      </w:r>
    </w:p>
    <w:p>
      <w:pPr>
        <w:spacing w:after="0" w:line="17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 xml:space="preserve">We operate as one operating and reportable segment that is managed on a consolidated basis and derives substantially all of its revenue from the sale and support of one group of similar products and services, comprised of software products for the development, deployment, and management of responsible, AI-powered applications and digital experiences. The accounting policies of the Company's operating segment are the same as those described in Note 1, </w:t>
      </w:r>
      <w:r>
        <w:rPr>
          <w:rFonts w:ascii="Times New Roman" w:cs="Times New Roman" w:eastAsia="Times New Roman" w:hAnsi="Times New Roman"/>
          <w:sz w:val="17"/>
          <w:szCs w:val="17"/>
          <w:i w:val="1"/>
          <w:iCs w:val="1"/>
          <w:color w:val="auto"/>
        </w:rPr>
        <w:t>Nature of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Summary of Significant Accounting Policies</w:t>
      </w:r>
      <w:r>
        <w:rPr>
          <w:rFonts w:ascii="Times New Roman" w:cs="Times New Roman" w:eastAsia="Times New Roman" w:hAnsi="Times New Roman"/>
          <w:sz w:val="17"/>
          <w:szCs w:val="17"/>
          <w:color w:val="auto"/>
        </w:rPr>
        <w:t>. Our CODM does not receive profitability information at a lower level than consolidated results, and evaluates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income on a consolidated basis to set financial performance targets, assess performance, and make resource allocation decisions, primarily through comparison of actual results to forecasted results, year-over-year analysis, and review of historical performance trends. The measure of segment assets is reported on the Company's consolidated balance sheets as total consolidated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significant expenses and other segment items are provided in the table below: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Fiscal Year Ended</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13"/>
        </w:trPr>
        <w:tc>
          <w:tcPr>
            <w:tcW w:w="634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November 30, 2025</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November 30, 2024</w:t>
            </w: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13"/>
        </w:trPr>
        <w:tc>
          <w:tcPr>
            <w:tcW w:w="63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Revenue</w:t>
            </w: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977,831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753,409</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694,439</w:t>
            </w:r>
          </w:p>
        </w:tc>
      </w:tr>
      <w:tr>
        <w:trPr>
          <w:trHeight w:val="233"/>
        </w:trPr>
        <w:tc>
          <w:tcPr>
            <w:tcW w:w="6340" w:type="dxa"/>
            <w:vAlign w:val="bottom"/>
          </w:tcPr>
          <w:p>
            <w:pPr>
              <w:ind w:left="80"/>
              <w:spacing w:after="0" w:line="232" w:lineRule="exact"/>
              <w:rPr>
                <w:sz w:val="20"/>
                <w:szCs w:val="20"/>
                <w:color w:val="auto"/>
              </w:rPr>
            </w:pPr>
            <w:r>
              <w:rPr>
                <w:rFonts w:ascii="Times New Roman" w:cs="Times New Roman" w:eastAsia="Times New Roman" w:hAnsi="Times New Roman"/>
                <w:sz w:val="17"/>
                <w:szCs w:val="17"/>
                <w:color w:val="auto"/>
              </w:rPr>
              <w:t xml:space="preserve">Cost of revenue </w:t>
            </w:r>
            <w:r>
              <w:rPr>
                <w:rFonts w:ascii="Times New Roman" w:cs="Times New Roman" w:eastAsia="Times New Roman" w:hAnsi="Times New Roman"/>
                <w:sz w:val="22"/>
                <w:szCs w:val="22"/>
                <w:color w:val="auto"/>
                <w:vertAlign w:val="superscript"/>
              </w:rPr>
              <w:t>(1)</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93,432</w:t>
            </w:r>
          </w:p>
        </w:tc>
      </w:tr>
      <w:tr>
        <w:trPr>
          <w:trHeight w:val="233"/>
        </w:trPr>
        <w:tc>
          <w:tcPr>
            <w:tcW w:w="6340" w:type="dxa"/>
            <w:vAlign w:val="bottom"/>
            <w:shd w:val="clear" w:color="auto" w:fill="CCEEFF"/>
          </w:tcPr>
          <w:p>
            <w:pPr>
              <w:ind w:left="80"/>
              <w:spacing w:after="0" w:line="232" w:lineRule="exact"/>
              <w:rPr>
                <w:sz w:val="20"/>
                <w:szCs w:val="20"/>
                <w:color w:val="auto"/>
              </w:rPr>
            </w:pPr>
            <w:r>
              <w:rPr>
                <w:rFonts w:ascii="Times New Roman" w:cs="Times New Roman" w:eastAsia="Times New Roman" w:hAnsi="Times New Roman"/>
                <w:sz w:val="17"/>
                <w:szCs w:val="17"/>
                <w:color w:val="auto"/>
              </w:rPr>
              <w:t xml:space="preserve">Sales and marketing </w:t>
            </w:r>
            <w:r>
              <w:rPr>
                <w:rFonts w:ascii="Times New Roman" w:cs="Times New Roman" w:eastAsia="Times New Roman" w:hAnsi="Times New Roman"/>
                <w:sz w:val="22"/>
                <w:szCs w:val="22"/>
                <w:color w:val="auto"/>
                <w:vertAlign w:val="superscript"/>
              </w:rPr>
              <w:t>(2)</w:t>
            </w: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197,736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155,606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149,279</w:t>
            </w:r>
          </w:p>
        </w:tc>
      </w:tr>
      <w:tr>
        <w:trPr>
          <w:trHeight w:val="233"/>
        </w:trPr>
        <w:tc>
          <w:tcPr>
            <w:tcW w:w="6340" w:type="dxa"/>
            <w:vAlign w:val="bottom"/>
          </w:tcPr>
          <w:p>
            <w:pPr>
              <w:ind w:left="80"/>
              <w:spacing w:after="0" w:line="232" w:lineRule="exact"/>
              <w:rPr>
                <w:sz w:val="20"/>
                <w:szCs w:val="20"/>
                <w:color w:val="auto"/>
              </w:rPr>
            </w:pPr>
            <w:r>
              <w:rPr>
                <w:rFonts w:ascii="Times New Roman" w:cs="Times New Roman" w:eastAsia="Times New Roman" w:hAnsi="Times New Roman"/>
                <w:sz w:val="17"/>
                <w:szCs w:val="17"/>
                <w:color w:val="auto"/>
              </w:rPr>
              <w:t xml:space="preserve">Product development </w:t>
            </w:r>
            <w:r>
              <w:rPr>
                <w:rFonts w:ascii="Times New Roman" w:cs="Times New Roman" w:eastAsia="Times New Roman" w:hAnsi="Times New Roman"/>
                <w:sz w:val="22"/>
                <w:szCs w:val="22"/>
                <w:color w:val="auto"/>
                <w:vertAlign w:val="superscript"/>
              </w:rPr>
              <w:t>(2)</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172,855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132,791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120,187</w:t>
            </w:r>
          </w:p>
        </w:tc>
      </w:tr>
      <w:tr>
        <w:trPr>
          <w:trHeight w:val="233"/>
        </w:trPr>
        <w:tc>
          <w:tcPr>
            <w:tcW w:w="6340" w:type="dxa"/>
            <w:vAlign w:val="bottom"/>
            <w:shd w:val="clear" w:color="auto" w:fill="CCEEFF"/>
          </w:tcPr>
          <w:p>
            <w:pPr>
              <w:ind w:left="80"/>
              <w:spacing w:after="0" w:line="232" w:lineRule="exact"/>
              <w:rPr>
                <w:sz w:val="20"/>
                <w:szCs w:val="20"/>
                <w:color w:val="auto"/>
              </w:rPr>
            </w:pPr>
            <w:r>
              <w:rPr>
                <w:rFonts w:ascii="Times New Roman" w:cs="Times New Roman" w:eastAsia="Times New Roman" w:hAnsi="Times New Roman"/>
                <w:sz w:val="17"/>
                <w:szCs w:val="17"/>
                <w:color w:val="auto"/>
              </w:rPr>
              <w:t xml:space="preserve">General and administrative </w:t>
            </w:r>
            <w:r>
              <w:rPr>
                <w:rFonts w:ascii="Times New Roman" w:cs="Times New Roman" w:eastAsia="Times New Roman" w:hAnsi="Times New Roman"/>
                <w:sz w:val="22"/>
                <w:szCs w:val="22"/>
                <w:color w:val="auto"/>
                <w:vertAlign w:val="superscript"/>
              </w:rPr>
              <w:t>(2)</w:t>
            </w: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64,615</w:t>
            </w:r>
          </w:p>
        </w:tc>
      </w:tr>
      <w:tr>
        <w:trPr>
          <w:trHeight w:val="233"/>
        </w:trPr>
        <w:tc>
          <w:tcPr>
            <w:tcW w:w="6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Stock-based compensation</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46,756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40,529</w:t>
            </w:r>
          </w:p>
        </w:tc>
      </w:tr>
      <w:tr>
        <w:trPr>
          <w:trHeight w:val="233"/>
        </w:trPr>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94,512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96,599</w:t>
            </w:r>
          </w:p>
        </w:tc>
      </w:tr>
      <w:tr>
        <w:trPr>
          <w:trHeight w:val="233"/>
        </w:trPr>
        <w:tc>
          <w:tcPr>
            <w:tcW w:w="6340" w:type="dxa"/>
            <w:vAlign w:val="bottom"/>
            <w:tcBorders>
              <w:bottom w:val="single" w:sz="8" w:color="CCEEFF"/>
            </w:tcBorders>
          </w:tcPr>
          <w:p>
            <w:pPr>
              <w:ind w:left="80"/>
              <w:spacing w:after="0" w:line="232" w:lineRule="exact"/>
              <w:rPr>
                <w:sz w:val="20"/>
                <w:szCs w:val="20"/>
                <w:color w:val="auto"/>
              </w:rPr>
            </w:pPr>
            <w:r>
              <w:rPr>
                <w:rFonts w:ascii="Times New Roman" w:cs="Times New Roman" w:eastAsia="Times New Roman" w:hAnsi="Times New Roman"/>
                <w:sz w:val="17"/>
                <w:szCs w:val="17"/>
                <w:color w:val="auto"/>
              </w:rPr>
              <w:t xml:space="preserve">Other segment items, net </w:t>
            </w:r>
            <w:r>
              <w:rPr>
                <w:rFonts w:ascii="Times New Roman" w:cs="Times New Roman" w:eastAsia="Times New Roman" w:hAnsi="Times New Roman"/>
                <w:sz w:val="22"/>
                <w:szCs w:val="22"/>
                <w:color w:val="auto"/>
                <w:vertAlign w:val="superscript"/>
              </w:rPr>
              <w:t>(3)</w:t>
            </w: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101,358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88,769</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59,601</w:t>
            </w:r>
          </w:p>
        </w:tc>
      </w:tr>
      <w:tr>
        <w:trPr>
          <w:trHeight w:val="238"/>
        </w:trPr>
        <w:tc>
          <w:tcPr>
            <w:tcW w:w="6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68,438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70,197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Excludes amortization of intangibles and stock-based compensation.</w:t>
      </w:r>
    </w:p>
    <w:p>
      <w:pPr>
        <w:spacing w:after="0" w:line="185" w:lineRule="auto"/>
        <w:rPr>
          <w:sz w:val="20"/>
          <w:szCs w:val="20"/>
          <w:color w:val="auto"/>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Excludes stock-based compensation.</w:t>
      </w:r>
    </w:p>
    <w:p>
      <w:pPr>
        <w:ind w:right="260"/>
        <w:spacing w:after="0" w:line="212" w:lineRule="auto"/>
        <w:rPr>
          <w:sz w:val="20"/>
          <w:szCs w:val="20"/>
          <w:color w:val="auto"/>
        </w:rPr>
      </w:pP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4"/>
          <w:szCs w:val="14"/>
          <w:color w:val="auto"/>
        </w:rPr>
        <w:t>Includes restructuring expenses, acquisition-related expenses, cyber incident and vulnerability response expenses, net, interest expense, interest income and other, net, foreign currency loss, net, and provision for income taxes.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Geographic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See Note 12, </w:t>
      </w: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for a disaggregation of revenue by geographic region.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w:t>
      </w:r>
    </w:p>
    <w:p>
      <w:pPr>
        <w:spacing w:after="0" w:line="210"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7"/>
          <w:szCs w:val="17"/>
          <w:color w:val="auto"/>
        </w:rPr>
        <w:t>Long-lived assets, comprised of our property and equipment, net, and operating lease right-of-use, net, totaled $15.9 million and $23.0 million in the U.S. and $23.6 million and $21.6 million outside of the U.S. at November 30, 2025 and 2024, respectively. No individual country outside of the U.S. accounted for more than 10% of our consolidated long-lived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Cyber Related Matters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November 2022 Cyber Incident</w:t>
      </w:r>
    </w:p>
    <w:p>
      <w:pPr>
        <w:spacing w:after="0" w:line="246"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7"/>
          <w:szCs w:val="17"/>
          <w:color w:val="auto"/>
        </w:rPr>
        <w:t>Following the detection of irregular activity on certain portions of our corporate network, we engaged outside cybersecurity experts and other incident response professionals to conduct a forensic investigation and assess the extent and scope of the incident. Costs for this incident were primarily related to the engagement of external cybersecurity experts and other incident response professionals. We did not incur costs related to this incident during fiscal year 2024 or 2025 and do not expect to incur additional costs as the investigation is closed. For the fiscal year ended November 30, 2023, we incurred expenses of $4.7 million, net of insurance reimbursements, related to this incident.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i w:val="1"/>
          <w:iCs w:val="1"/>
          <w:color w:val="auto"/>
        </w:rPr>
        <w:t>MOVEit Vulnerability</w:t>
      </w:r>
    </w:p>
    <w:p>
      <w:pPr>
        <w:spacing w:after="0" w:line="23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As previously disclosed, on the evening of May 28, 2023, we learned that our MOVEit Transfer (the on-premise version) and MOVEit Cloud (a cloud-hosted version of MOVEit Transfer) products were attacked by a threat actor who compromised and exfiltrated personal data from various customer-controlled MOVEit Transfer environments (the "MOVEit Vulnerability"). As a result of the MOVEit Vulnerability, we are party to certain class action lawsuits filed by individuals who claim to have been impacted by the exfiltration of data from the environments of our MOVEit Transfer customers, which have been centralized in multi-district litigation in the District of Massachusetts (the "MDL"). The MDL has also consolidated the insurance subrogation complaint (where an insurer is seeking recovery for expenses incurred on behalf of its insured in connection with the MOVEit Vulnerability) and, as of the date of this filing, one customer cross-claim. The MDL remains in a relatively early stage and is not expected to conclude within the next twelve months. Motions to dismiss were filed and partially granted in July 2025, then further partially granted in January 2026 in response to our motions for reconsideration. In all, the court has dismissed 20 of the 33 claims asserted by the plaintiffs in the MDL.</w:t>
      </w:r>
    </w:p>
    <w:p>
      <w:pPr>
        <w:spacing w:after="0" w:line="20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As previously disclosed, we have also cooperated with inquiries and investigations from various domestic and foreign governmental authorities (data privacy regulators, a U.S. federal law enforcement agency, the Federal Trade Commission, and the SEC), a number of which have been formally closed and, as of the date of this filing, have not resulted in any prosecution or enforcement actions against us. We continue to support inquiries and investigations from several state attorneys general, one of which has been formally closed without any enforcement or regulatory actions directed against us.</w:t>
      </w:r>
    </w:p>
    <w:p>
      <w:pPr>
        <w:spacing w:after="0" w:line="19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Our financial liability arising from the MOVEit Vulnerability will depend on many factors, including the progression of the MDL and additional litigation or indemnification claims, and any settlements resulting from remaining or additional governmental or regulatory investigations; therefore, we are unable at this time to estimate the quantitative impact of any such liability with any reasonable degree of certainty. As our litigation response continues, we will continue to assess the potential impact of the MOVEit Vulnerability on our business, operations, and financial results. Such claims and investigations may have an adverse effect on how we operate our business and our results of operations, and in the future, we may be subject to additional governmental or regulatory investigations, as well as additional litigation or indemnification claims. MOVEit Transfer and MOVEit Cloud represented less than 3% in aggregate of our revenue for the fiscal year ended November 30,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Expenses Incurred and Future Costs</w:t>
      </w:r>
    </w:p>
    <w:p>
      <w:pPr>
        <w:spacing w:after="0" w:line="246"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7"/>
          <w:szCs w:val="17"/>
          <w:color w:val="auto"/>
        </w:rPr>
        <w:t>For the fiscal years ended November 30, 2025, 2024, and 2023, we incurred net costs of $2.8 million, $5.6 million, and $1.5 million, respectively, related to the MOVEit Vulnerability. The costs recognized are net of insurance recoveries of $2.2 million, $2.1 million, and $3.7 million, respectively. The timing of recognizing insurance recoveries may differ from the timing of recognizing the associated expenses.</w:t>
      </w:r>
    </w:p>
    <w:p>
      <w:pPr>
        <w:spacing w:after="0" w:line="176"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7"/>
          <w:szCs w:val="17"/>
          <w:color w:val="auto"/>
        </w:rPr>
        <w:t>We expect to continue to incur investigation, legal and professional services expenses associated with the MOVEit Vulnerability in future periods. We will recognize these expenses as services are received, net of insurance recoveries. While a loss from these matters is reasonably possible, we cannot reasonably estimate a range of possible losses at this time, particularly while the foregoing matters remain ongoing. Furthermore, with respect to the MDL, the proceedings remain in the relatively early stages, alleged damages have not been specified, there is uncertainty as to the likelihood of a class or classes being certified or the ultimate size of any class if certified, and there are significant factual and legal issues to be resolved. With respect to governmental inquiries and investigations, we are currently unable to reasonably estimate any possible adverse judgments, settlements, fines, or penalties. Therefore, we have not recorded a loss contingency liability for the MOVEit Vulnerability as of November 30,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Insurance Coverage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period when the November 2022 Cyber Incident and the MOVEit Vulnerability occurred, we maintained $15.0 million of cybersecurity insurance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coverage, which is expected to reduce our exposure to expenses and liabilities arising from these events. As of November 30, 2025, we have approximately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 million of remaining cybersecurity insurance coverage under the applicable policy. We will pursue recoveries to the maximum extent available under our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insurance policies.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Evaluation of Disclosure Controls and Procedures</w:t>
      </w:r>
    </w:p>
    <w:p>
      <w:pPr>
        <w:spacing w:after="0" w:line="246"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color w:val="auto"/>
        </w:rPr>
        <w:t>Our management maintains disclosure controls and procedures as defined in Rules 13a-15(e) and 15d-15(e) under the Securities and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spacing w:after="0" w:line="197" w:lineRule="exact"/>
        <w:rPr>
          <w:sz w:val="20"/>
          <w:szCs w:val="20"/>
          <w:color w:val="auto"/>
        </w:rPr>
      </w:pPr>
    </w:p>
    <w:p>
      <w:pPr>
        <w:ind w:right="460"/>
        <w:spacing w:after="0" w:line="272" w:lineRule="auto"/>
        <w:rPr>
          <w:sz w:val="20"/>
          <w:szCs w:val="20"/>
          <w:color w:val="auto"/>
        </w:rPr>
      </w:pPr>
      <w:r>
        <w:rPr>
          <w:rFonts w:ascii="Times New Roman" w:cs="Times New Roman" w:eastAsia="Times New Roman" w:hAnsi="Times New Roman"/>
          <w:sz w:val="17"/>
          <w:szCs w:val="17"/>
          <w:color w:val="auto"/>
        </w:rPr>
        <w:t>Our management, including our principal executive and principal financial officers, evaluated the effectiveness of the design and operation of our disclosure controls and procedures as of the end of the period covered by this Annual Report. Based on this evaluation, we concluded that our disclosure controls and procedures were effective at the reasonable assurance level as of November 30,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Management's Annual Report on Internal Control over Financial Reporting</w:t>
      </w:r>
    </w:p>
    <w:p>
      <w:pPr>
        <w:spacing w:after="0" w:line="24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such term is defined in Exchange Act Rules 13a-15(f) and 15d-15(f). Because of its inherent limitations, internal control over financial reporting may not prevent or detect all misstatements. Our internal control system was designed to provide reasonable assurance to our management and board of directors regarding the preparation and fair presentation of published financial statements.</w:t>
      </w:r>
    </w:p>
    <w:p>
      <w:pPr>
        <w:spacing w:after="0" w:line="19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 xml:space="preserve">Our management assessed the effectiveness of our internal control over financial reporting as of November 30, 2025. Our assessment was based on the framework in the updated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Based on our assessment we believe that as of November 30, 2025, our internal control over financial reporting is effective based on those criteria.</w:t>
      </w:r>
    </w:p>
    <w:p>
      <w:pPr>
        <w:spacing w:after="0" w:line="18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Deloitte &amp; Touche LLP, our independent registered public accounting firm, which audited our consolidated financial statements, has issued an attestation report on our internal control over financial reporting, which is included in this Item 9A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Changes in Internal Control over Financial Reporting</w:t>
      </w:r>
    </w:p>
    <w:p>
      <w:pPr>
        <w:spacing w:after="0" w:line="246"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the fiscal quarter ended November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color w:val="auto"/>
        </w:rPr>
        <w:t>(d) 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Progress Software Corporation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3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Progress Software Corporation and subsidiaries (the "Company") as of November 30,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November 30,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November 30, 2025, of the Company and our report dated January 20, 2026, expressed an unqualified opinion on those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3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20, 2026</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740"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46"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color w:val="auto"/>
        </w:rPr>
        <w:t>During fiscal year 2025, in order to make certain administrative updates, we adopted a new Form of Notice of Grant of Stock Options and Grant Agreement under the Progress Software Corporation 2008 Stock Option and Incentive Plan, a copy of which is incorporated by reference as Exhibit 10.4.</w:t>
      </w:r>
    </w:p>
    <w:p>
      <w:pPr>
        <w:spacing w:after="0" w:line="173"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7"/>
          <w:szCs w:val="17"/>
          <w:color w:val="auto"/>
        </w:rPr>
        <w:t>On November 19, 2025, we entered into a new Employee Retention and Motivation Agreement (the "ERMA") with our Chief Executive Officer in order to extend the term of the ERMA through the duration of his employment and make certain other administrative updates, a copy of which is attached hereto as Exhibit 10.13.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Insider Adoption or Termination of Trading Arrangements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fourth quarter of fiscal year 2025, none of our directors or officers informed us of the adoption or termination of a "Rule 10b5-1 trading arrangement"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"non-Rule 10b5-1 trading arrangement," as those terms are defined in Regulation S-K, Item 408, except as described in the table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Aggregate Number of</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Character of Trading</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Shares of Common Stock to</w:t>
            </w:r>
          </w:p>
        </w:tc>
        <w:tc>
          <w:tcPr>
            <w:tcW w:w="0" w:type="dxa"/>
            <w:vAlign w:val="bottom"/>
          </w:tcPr>
          <w:p>
            <w:pPr>
              <w:spacing w:after="0"/>
              <w:rPr>
                <w:sz w:val="1"/>
                <w:szCs w:val="1"/>
                <w:color w:val="auto"/>
              </w:rPr>
            </w:pPr>
          </w:p>
        </w:tc>
      </w:tr>
      <w:tr>
        <w:trPr>
          <w:trHeight w:val="174"/>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Name and Title</w:t>
            </w:r>
          </w:p>
        </w:tc>
        <w:tc>
          <w:tcPr>
            <w:tcW w:w="2040" w:type="dxa"/>
            <w:vAlign w:val="bottom"/>
            <w:gridSpan w:val="2"/>
            <w:vMerge w:val="continue"/>
          </w:tcPr>
          <w:p>
            <w:pPr>
              <w:spacing w:after="0"/>
              <w:rPr>
                <w:sz w:val="15"/>
                <w:szCs w:val="15"/>
                <w:color w:val="auto"/>
              </w:rPr>
            </w:pP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Date Adopted</w:t>
            </w: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Duration</w:t>
            </w:r>
            <w:r>
              <w:rPr>
                <w:rFonts w:ascii="Times New Roman" w:cs="Times New Roman" w:eastAsia="Times New Roman" w:hAnsi="Times New Roman"/>
                <w:sz w:val="22"/>
                <w:szCs w:val="22"/>
                <w:color w:val="auto"/>
                <w:vertAlign w:val="superscript"/>
              </w:rPr>
              <w:t>2</w:t>
            </w:r>
          </w:p>
        </w:tc>
        <w:tc>
          <w:tcPr>
            <w:tcW w:w="202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rPr>
              <w:t>be Sold Pursuant to Trading</w:t>
            </w:r>
          </w:p>
        </w:tc>
        <w:tc>
          <w:tcPr>
            <w:tcW w:w="0" w:type="dxa"/>
            <w:vAlign w:val="bottom"/>
          </w:tcPr>
          <w:p>
            <w:pPr>
              <w:spacing w:after="0"/>
              <w:rPr>
                <w:sz w:val="1"/>
                <w:szCs w:val="1"/>
                <w:color w:val="auto"/>
              </w:rPr>
            </w:pPr>
          </w:p>
        </w:tc>
      </w:tr>
      <w:tr>
        <w:trPr>
          <w:trHeight w:val="220"/>
        </w:trPr>
        <w:tc>
          <w:tcPr>
            <w:tcW w:w="3600" w:type="dxa"/>
            <w:vAlign w:val="bottom"/>
            <w:vMerge w:val="continue"/>
          </w:tcPr>
          <w:p>
            <w:pPr>
              <w:spacing w:after="0"/>
              <w:rPr>
                <w:sz w:val="19"/>
                <w:szCs w:val="19"/>
                <w:color w:val="auto"/>
              </w:rPr>
            </w:pPr>
          </w:p>
        </w:tc>
        <w:tc>
          <w:tcPr>
            <w:tcW w:w="20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Arrangement</w:t>
            </w:r>
            <w:r>
              <w:rPr>
                <w:rFonts w:ascii="Times New Roman" w:cs="Times New Roman" w:eastAsia="Times New Roman" w:hAnsi="Times New Roman"/>
                <w:sz w:val="22"/>
                <w:szCs w:val="22"/>
                <w:color w:val="auto"/>
                <w:vertAlign w:val="superscript"/>
              </w:rPr>
              <w:t>1</w:t>
            </w:r>
          </w:p>
        </w:tc>
        <w:tc>
          <w:tcPr>
            <w:tcW w:w="1680" w:type="dxa"/>
            <w:vAlign w:val="bottom"/>
            <w:gridSpan w:val="2"/>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Arrangement</w:t>
            </w:r>
          </w:p>
        </w:tc>
        <w:tc>
          <w:tcPr>
            <w:tcW w:w="0" w:type="dxa"/>
            <w:vAlign w:val="bottom"/>
          </w:tcPr>
          <w:p>
            <w:pPr>
              <w:spacing w:after="0"/>
              <w:rPr>
                <w:sz w:val="1"/>
                <w:szCs w:val="1"/>
                <w:color w:val="auto"/>
              </w:rPr>
            </w:pPr>
          </w:p>
        </w:tc>
      </w:tr>
      <w:tr>
        <w:trPr>
          <w:trHeight w:val="161"/>
        </w:trPr>
        <w:tc>
          <w:tcPr>
            <w:tcW w:w="360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Ian Pitt, EVP &amp; Chief Information Officer</w:t>
            </w:r>
          </w:p>
        </w:tc>
        <w:tc>
          <w:tcPr>
            <w:tcW w:w="1920" w:type="dxa"/>
            <w:vAlign w:val="bottom"/>
            <w:tcBorders>
              <w:top w:val="single" w:sz="8" w:color="auto"/>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color w:val="auto"/>
              </w:rPr>
              <w:t>Rule 10b5-1</w:t>
            </w:r>
          </w:p>
        </w:tc>
        <w:tc>
          <w:tcPr>
            <w:tcW w:w="1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Up to 11,155</w:t>
            </w:r>
            <w:r>
              <w:rPr>
                <w:rFonts w:ascii="Times New Roman" w:cs="Times New Roman" w:eastAsia="Times New Roman" w:hAnsi="Times New Roman"/>
                <w:sz w:val="22"/>
                <w:szCs w:val="22"/>
                <w:color w:val="auto"/>
                <w:vertAlign w:val="superscript"/>
              </w:rPr>
              <w:t>3</w:t>
            </w:r>
          </w:p>
        </w:tc>
        <w:tc>
          <w:tcPr>
            <w:tcW w:w="0" w:type="dxa"/>
            <w:vAlign w:val="bottom"/>
          </w:tcPr>
          <w:p>
            <w:pPr>
              <w:spacing w:after="0"/>
              <w:rPr>
                <w:sz w:val="1"/>
                <w:szCs w:val="1"/>
                <w:color w:val="auto"/>
              </w:rPr>
            </w:pPr>
          </w:p>
        </w:tc>
      </w:tr>
      <w:tr>
        <w:trPr>
          <w:trHeight w:val="233"/>
        </w:trPr>
        <w:tc>
          <w:tcPr>
            <w:tcW w:w="3600" w:type="dxa"/>
            <w:vAlign w:val="bottom"/>
            <w:vMerge w:val="continue"/>
            <w:shd w:val="clear" w:color="auto" w:fill="CCEEFF"/>
          </w:tcPr>
          <w:p>
            <w:pPr>
              <w:spacing w:after="0"/>
              <w:rPr>
                <w:sz w:val="20"/>
                <w:szCs w:val="20"/>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Trading Arrangement</w:t>
            </w:r>
          </w:p>
        </w:tc>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October 30, 2025</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31, 2026</w:t>
            </w:r>
          </w:p>
        </w:tc>
        <w:tc>
          <w:tcPr>
            <w:tcW w:w="2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Sundar Subramanian, EVP &amp; GM, Infrastructure</w:t>
            </w:r>
          </w:p>
        </w:tc>
        <w:tc>
          <w:tcPr>
            <w:tcW w:w="204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Rule 10b5-1</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Up to 46,454</w:t>
            </w:r>
            <w:r>
              <w:rPr>
                <w:rFonts w:ascii="Times New Roman" w:cs="Times New Roman" w:eastAsia="Times New Roman" w:hAnsi="Times New Roman"/>
                <w:sz w:val="22"/>
                <w:szCs w:val="22"/>
                <w:color w:val="auto"/>
                <w:vertAlign w:val="superscript"/>
              </w:rPr>
              <w:t>4</w:t>
            </w:r>
          </w:p>
        </w:tc>
        <w:tc>
          <w:tcPr>
            <w:tcW w:w="0" w:type="dxa"/>
            <w:vAlign w:val="bottom"/>
          </w:tcPr>
          <w:p>
            <w:pPr>
              <w:spacing w:after="0"/>
              <w:rPr>
                <w:sz w:val="1"/>
                <w:szCs w:val="1"/>
                <w:color w:val="auto"/>
              </w:rPr>
            </w:pPr>
          </w:p>
        </w:tc>
      </w:tr>
      <w:tr>
        <w:trPr>
          <w:trHeight w:val="300"/>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Trading Arrangement</w:t>
            </w: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October 27, 2025</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31, 2026</w:t>
            </w:r>
          </w:p>
        </w:tc>
        <w:tc>
          <w:tcPr>
            <w:tcW w:w="2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40" w:hanging="137"/>
        <w:spacing w:after="0"/>
        <w:tabs>
          <w:tab w:leader="none" w:pos="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indicated by footnote, each trading arrangement marked as a "Rule 10b5-1 Trading Arrangement" is intended to satisfy the affirmative defense of Rule 10b5-1(c), as amended (the "Rule").</w:t>
      </w:r>
    </w:p>
    <w:p>
      <w:pPr>
        <w:spacing w:after="0" w:line="227" w:lineRule="exact"/>
        <w:rPr>
          <w:rFonts w:ascii="Times New Roman" w:cs="Times New Roman" w:eastAsia="Times New Roman" w:hAnsi="Times New Roman"/>
          <w:sz w:val="14"/>
          <w:szCs w:val="14"/>
          <w:color w:val="auto"/>
        </w:rPr>
      </w:pPr>
    </w:p>
    <w:p>
      <w:pPr>
        <w:ind w:right="40" w:firstLine="3"/>
        <w:spacing w:after="0" w:line="277" w:lineRule="auto"/>
        <w:tabs>
          <w:tab w:leader="none" w:pos="13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indicated by footnote, each trading arrangement permits transactions through and including the earlier to occur of (a) the completion of all sales or (b) the date listed in the table. Each trading arrangement marked as a "Rule 10b5-1 Trading Arrangement" only permits transactions upon expiration of the applicable mandatory cooling-off period under the Rule.</w:t>
      </w:r>
    </w:p>
    <w:p>
      <w:pPr>
        <w:spacing w:after="0" w:line="197" w:lineRule="exact"/>
        <w:rPr>
          <w:rFonts w:ascii="Times New Roman" w:cs="Times New Roman" w:eastAsia="Times New Roman" w:hAnsi="Times New Roman"/>
          <w:sz w:val="14"/>
          <w:szCs w:val="14"/>
          <w:color w:val="auto"/>
        </w:rPr>
      </w:pPr>
    </w:p>
    <w:p>
      <w:pPr>
        <w:ind w:right="280" w:firstLine="3"/>
        <w:spacing w:after="0" w:line="317" w:lineRule="auto"/>
        <w:tabs>
          <w:tab w:leader="none" w:pos="138"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855 shares of our common stock; (ii) all common stock, net of shares withheld to cover tax withholding obligations, to be issued upon the anticipated vesting of 3,491 Restricted Stock Units; and (iii) 50% of the common stock, net of shares withheld to cover tax withholding obligations, to be issued upon the anticipated vesting of a maximum of 13,618 Performance Stock Units.</w:t>
      </w:r>
    </w:p>
    <w:p>
      <w:pPr>
        <w:spacing w:after="0" w:line="161" w:lineRule="exact"/>
        <w:rPr>
          <w:rFonts w:ascii="Times New Roman" w:cs="Times New Roman" w:eastAsia="Times New Roman" w:hAnsi="Times New Roman"/>
          <w:sz w:val="13"/>
          <w:szCs w:val="13"/>
          <w:color w:val="auto"/>
        </w:rPr>
      </w:pPr>
    </w:p>
    <w:p>
      <w:pPr>
        <w:ind w:left="140" w:hanging="137"/>
        <w:spacing w:after="0"/>
        <w:tabs>
          <w:tab w:leader="none" w:pos="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20,526 shares of our common stock; and (ii) 25,928 employee stock options expected to be exercised via same-day sale.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46"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color w:val="auto"/>
        </w:rPr>
        <w:t>This information will be contained in our definitive proxy statement for the 2026 Annual Meeting of Stockholders, to be filed within 120 days following the end of our fiscal year, and is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3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7"/>
          <w:szCs w:val="17"/>
          <w:color w:val="auto"/>
        </w:rPr>
        <w:t>This information will be contained in our definitive proxy statement for the 2026 Annual Meeting of Stockholders, to be filed within 120 days following the end of our fiscal year,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46"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color w:val="auto"/>
        </w:rPr>
        <w:t>This information will be contained in our definitive proxy statement for the 2026 Annual Meeting of Stockholders, to be filed within 120 days following the end of our fiscal year, and is incorporated herein by reference.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4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This information will be contained in our definitive proxy statement for the 2026 Annual Meeting of Stockholders, to be filed within 120 days following the end of our fiscal year, and is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4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This information will be contained in our definitive proxy statement for the 2026 Annual Meeting of Stockholders, to be filed within 120 days following the end of our fiscal year, and is incorporated herein by reference.</w:t>
      </w: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740" w:right="49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8"/>
        </w:trPr>
        <w:tc>
          <w:tcPr>
            <w:tcW w:w="1046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40"/>
        </w:trPr>
        <w:tc>
          <w:tcPr>
            <w:tcW w:w="1046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0"/>
        </w:trPr>
        <w:tc>
          <w:tcPr>
            <w:tcW w:w="1046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(a) Documents Filed as Part of this Report: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0"/>
        </w:trPr>
        <w:tc>
          <w:tcPr>
            <w:tcW w:w="104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1. Financial Statements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0"/>
        </w:trPr>
        <w:tc>
          <w:tcPr>
            <w:tcW w:w="104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Included in Part II, Item 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6"/>
        </w:trPr>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Page</w:t>
            </w:r>
          </w:p>
        </w:tc>
      </w:tr>
      <w:tr>
        <w:trPr>
          <w:trHeight w:val="194"/>
        </w:trPr>
        <w:tc>
          <w:tcPr>
            <w:tcW w:w="280" w:type="dxa"/>
            <w:vAlign w:val="bottom"/>
          </w:tcPr>
          <w:p>
            <w:pPr>
              <w:spacing w:after="0"/>
              <w:rPr>
                <w:sz w:val="16"/>
                <w:szCs w:val="16"/>
                <w:color w:val="auto"/>
              </w:rPr>
            </w:pPr>
          </w:p>
        </w:tc>
        <w:tc>
          <w:tcPr>
            <w:tcW w:w="10180" w:type="dxa"/>
            <w:vAlign w:val="bottom"/>
            <w:gridSpan w:val="9"/>
          </w:tcPr>
          <w:p>
            <w:pPr>
              <w:spacing w:after="0" w:line="174" w:lineRule="exact"/>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(PCAOB ID No.34)</w:t>
            </w:r>
          </w:p>
        </w:tc>
        <w:tc>
          <w:tcPr>
            <w:tcW w:w="480" w:type="dxa"/>
            <w:vAlign w:val="bottom"/>
            <w:gridSpan w:val="2"/>
          </w:tcPr>
          <w:p>
            <w:pPr>
              <w:jc w:val="center"/>
              <w:ind w:left="214"/>
              <w:spacing w:after="0" w:line="174" w:lineRule="exact"/>
              <w:rPr>
                <w:sz w:val="20"/>
                <w:szCs w:val="20"/>
                <w:color w:val="auto"/>
              </w:rPr>
            </w:pPr>
            <w:r>
              <w:rPr>
                <w:rFonts w:ascii="Times New Roman" w:cs="Times New Roman" w:eastAsia="Times New Roman" w:hAnsi="Times New Roman"/>
                <w:sz w:val="17"/>
                <w:szCs w:val="17"/>
                <w:color w:val="0000FF"/>
              </w:rPr>
              <w:t>35</w:t>
            </w:r>
          </w:p>
        </w:tc>
        <w:tc>
          <w:tcPr>
            <w:tcW w:w="300" w:type="dxa"/>
            <w:vAlign w:val="bottom"/>
          </w:tcPr>
          <w:p>
            <w:pPr>
              <w:spacing w:after="0"/>
              <w:rPr>
                <w:sz w:val="16"/>
                <w:szCs w:val="16"/>
                <w:color w:val="auto"/>
              </w:rPr>
            </w:pPr>
          </w:p>
        </w:tc>
      </w:tr>
      <w:tr>
        <w:trPr>
          <w:trHeight w:val="213"/>
        </w:trPr>
        <w:tc>
          <w:tcPr>
            <w:tcW w:w="280" w:type="dxa"/>
            <w:vAlign w:val="bottom"/>
          </w:tcPr>
          <w:p>
            <w:pPr>
              <w:spacing w:after="0"/>
              <w:rPr>
                <w:sz w:val="18"/>
                <w:szCs w:val="18"/>
                <w:color w:val="auto"/>
              </w:rPr>
            </w:pPr>
          </w:p>
        </w:tc>
        <w:tc>
          <w:tcPr>
            <w:tcW w:w="40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6100" w:type="dxa"/>
            <w:vAlign w:val="bottom"/>
            <w:gridSpan w:val="6"/>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r>
      <w:tr>
        <w:trPr>
          <w:trHeight w:val="187"/>
        </w:trPr>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80" w:type="dxa"/>
            <w:vAlign w:val="bottom"/>
            <w:tcBorders>
              <w:bottom w:val="single" w:sz="8" w:color="0000FF"/>
            </w:tcBorders>
            <w:gridSpan w:val="4"/>
          </w:tcPr>
          <w:p>
            <w:pPr>
              <w:spacing w:after="0" w:line="187" w:lineRule="exact"/>
              <w:rPr>
                <w:sz w:val="20"/>
                <w:szCs w:val="20"/>
                <w:color w:val="auto"/>
              </w:rPr>
            </w:pPr>
            <w:r>
              <w:rPr>
                <w:rFonts w:ascii="Times New Roman" w:cs="Times New Roman" w:eastAsia="Times New Roman" w:hAnsi="Times New Roman"/>
                <w:sz w:val="17"/>
                <w:szCs w:val="17"/>
                <w:color w:val="0000FF"/>
              </w:rPr>
              <w:t>Consolidated Balance Sheets as of November 30, 2025 and 2024</w:t>
            </w:r>
          </w:p>
        </w:tc>
        <w:tc>
          <w:tcPr>
            <w:tcW w:w="3340" w:type="dxa"/>
            <w:vAlign w:val="bottom"/>
            <w:gridSpan w:val="4"/>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bottom w:val="single" w:sz="8" w:color="0000FF"/>
            </w:tcBorders>
          </w:tcPr>
          <w:p>
            <w:pPr>
              <w:jc w:val="center"/>
              <w:spacing w:after="0" w:line="187" w:lineRule="exact"/>
              <w:rPr>
                <w:sz w:val="20"/>
                <w:szCs w:val="20"/>
                <w:color w:val="auto"/>
              </w:rPr>
            </w:pPr>
            <w:r>
              <w:rPr>
                <w:rFonts w:ascii="Times New Roman" w:cs="Times New Roman" w:eastAsia="Times New Roman" w:hAnsi="Times New Roman"/>
                <w:sz w:val="17"/>
                <w:szCs w:val="17"/>
                <w:color w:val="0000FF"/>
              </w:rPr>
              <w:t>37</w:t>
            </w:r>
          </w:p>
        </w:tc>
        <w:tc>
          <w:tcPr>
            <w:tcW w:w="300" w:type="dxa"/>
            <w:vAlign w:val="bottom"/>
          </w:tcPr>
          <w:p>
            <w:pPr>
              <w:spacing w:after="0"/>
              <w:rPr>
                <w:sz w:val="16"/>
                <w:szCs w:val="16"/>
                <w:color w:val="auto"/>
              </w:rPr>
            </w:pPr>
          </w:p>
        </w:tc>
      </w:tr>
      <w:tr>
        <w:trPr>
          <w:trHeight w:val="200"/>
        </w:trPr>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November 30, 2025, 2024 and 2023</w:t>
            </w:r>
          </w:p>
        </w:tc>
        <w:tc>
          <w:tcPr>
            <w:tcW w:w="328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38</w:t>
            </w:r>
          </w:p>
        </w:tc>
        <w:tc>
          <w:tcPr>
            <w:tcW w:w="300" w:type="dxa"/>
            <w:vAlign w:val="bottom"/>
          </w:tcPr>
          <w:p>
            <w:pPr>
              <w:spacing w:after="0"/>
              <w:rPr>
                <w:sz w:val="17"/>
                <w:szCs w:val="17"/>
                <w:color w:val="auto"/>
              </w:rPr>
            </w:pPr>
          </w:p>
        </w:tc>
      </w:tr>
      <w:tr>
        <w:trPr>
          <w:trHeight w:val="200"/>
        </w:trPr>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for the years ended November 30, 2025, 2024 and 2023</w:t>
            </w:r>
          </w:p>
        </w:tc>
        <w:tc>
          <w:tcPr>
            <w:tcW w:w="480" w:type="dxa"/>
            <w:vAlign w:val="bottom"/>
            <w:gridSpan w:val="2"/>
          </w:tcPr>
          <w:p>
            <w:pPr>
              <w:jc w:val="center"/>
              <w:ind w:left="214"/>
              <w:spacing w:after="0"/>
              <w:rPr>
                <w:sz w:val="20"/>
                <w:szCs w:val="20"/>
                <w:color w:val="auto"/>
              </w:rPr>
            </w:pPr>
            <w:r>
              <w:rPr>
                <w:rFonts w:ascii="Times New Roman" w:cs="Times New Roman" w:eastAsia="Times New Roman" w:hAnsi="Times New Roman"/>
                <w:sz w:val="17"/>
                <w:szCs w:val="17"/>
                <w:color w:val="0000FF"/>
              </w:rPr>
              <w:t>39</w:t>
            </w:r>
          </w:p>
        </w:tc>
        <w:tc>
          <w:tcPr>
            <w:tcW w:w="300" w:type="dxa"/>
            <w:vAlign w:val="bottom"/>
          </w:tcPr>
          <w:p>
            <w:pPr>
              <w:spacing w:after="0"/>
              <w:rPr>
                <w:sz w:val="17"/>
                <w:szCs w:val="17"/>
                <w:color w:val="auto"/>
              </w:rPr>
            </w:pPr>
          </w:p>
        </w:tc>
      </w:tr>
      <w:tr>
        <w:trPr>
          <w:trHeight w:val="200"/>
        </w:trPr>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November 30, 2025, 2024 and 2023</w:t>
            </w:r>
          </w:p>
        </w:tc>
        <w:tc>
          <w:tcPr>
            <w:tcW w:w="200" w:type="dxa"/>
            <w:vAlign w:val="bottom"/>
            <w:tcBorders>
              <w:top w:val="single" w:sz="8" w:color="0000FF"/>
            </w:tcBorders>
          </w:tcPr>
          <w:p>
            <w:pPr>
              <w:spacing w:after="0"/>
              <w:rPr>
                <w:sz w:val="17"/>
                <w:szCs w:val="17"/>
                <w:color w:val="auto"/>
              </w:rPr>
            </w:pPr>
          </w:p>
        </w:tc>
        <w:tc>
          <w:tcPr>
            <w:tcW w:w="2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40</w:t>
            </w:r>
          </w:p>
        </w:tc>
        <w:tc>
          <w:tcPr>
            <w:tcW w:w="300" w:type="dxa"/>
            <w:vAlign w:val="bottom"/>
          </w:tcPr>
          <w:p>
            <w:pPr>
              <w:spacing w:after="0"/>
              <w:rPr>
                <w:sz w:val="17"/>
                <w:szCs w:val="17"/>
                <w:color w:val="auto"/>
              </w:rPr>
            </w:pPr>
          </w:p>
        </w:tc>
      </w:tr>
      <w:tr>
        <w:trPr>
          <w:trHeight w:val="200"/>
        </w:trPr>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November 30, 2025, 2024 and 2023</w:t>
            </w:r>
          </w:p>
        </w:tc>
        <w:tc>
          <w:tcPr>
            <w:tcW w:w="328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41</w:t>
            </w:r>
          </w:p>
        </w:tc>
        <w:tc>
          <w:tcPr>
            <w:tcW w:w="300" w:type="dxa"/>
            <w:vAlign w:val="bottom"/>
          </w:tcPr>
          <w:p>
            <w:pPr>
              <w:spacing w:after="0"/>
              <w:rPr>
                <w:sz w:val="17"/>
                <w:szCs w:val="17"/>
                <w:color w:val="auto"/>
              </w:rPr>
            </w:pPr>
          </w:p>
        </w:tc>
      </w:tr>
      <w:tr>
        <w:trPr>
          <w:trHeight w:val="200"/>
        </w:trPr>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6900" w:type="dxa"/>
            <w:vAlign w:val="bottom"/>
            <w:gridSpan w:val="7"/>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43</w:t>
            </w:r>
          </w:p>
        </w:tc>
        <w:tc>
          <w:tcPr>
            <w:tcW w:w="300" w:type="dxa"/>
            <w:vAlign w:val="bottom"/>
          </w:tcPr>
          <w:p>
            <w:pPr>
              <w:spacing w:after="0"/>
              <w:rPr>
                <w:sz w:val="17"/>
                <w:szCs w:val="17"/>
                <w:color w:val="auto"/>
              </w:rPr>
            </w:pP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244"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7"/>
          <w:szCs w:val="17"/>
          <w:color w:val="auto"/>
        </w:rPr>
        <w:t>All schedules are omitted because the information required to be set forth therein is not applicable or is shown in the financial statements or notes herein or not present in amounts sufficient to require submission of the schedule.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filed with this report or incorporated by reference herein certain exhibits as specified below pursuant to Rule 12b-32 under the Exchange Act.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8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20" w:type="dxa"/>
            <w:vAlign w:val="bottom"/>
            <w:gridSpan w:val="8"/>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80" w:type="dxa"/>
            <w:vAlign w:val="bottom"/>
            <w:vMerge w:val="restart"/>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0" w:type="dxa"/>
            <w:vAlign w:val="bottom"/>
            <w:vMerge w:val="restart"/>
          </w:tcPr>
          <w:p>
            <w:pPr>
              <w:spacing w:after="0"/>
              <w:rPr>
                <w:sz w:val="14"/>
                <w:szCs w:val="14"/>
                <w:color w:val="auto"/>
              </w:rPr>
            </w:pPr>
          </w:p>
        </w:tc>
        <w:tc>
          <w:tcPr>
            <w:tcW w:w="86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w w:val="98"/>
              </w:rPr>
              <w:t>Filing</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80" w:type="dxa"/>
            <w:vAlign w:val="bottom"/>
            <w:vMerge w:val="restart"/>
          </w:tcPr>
          <w:p>
            <w:pPr>
              <w:spacing w:after="0"/>
              <w:rPr>
                <w:sz w:val="14"/>
                <w:szCs w:val="14"/>
                <w:color w:val="auto"/>
              </w:rPr>
            </w:pPr>
          </w:p>
        </w:tc>
        <w:tc>
          <w:tcPr>
            <w:tcW w:w="8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Filed</w:t>
            </w:r>
          </w:p>
        </w:tc>
        <w:tc>
          <w:tcPr>
            <w:tcW w:w="0" w:type="dxa"/>
            <w:vAlign w:val="bottom"/>
          </w:tcPr>
          <w:p>
            <w:pPr>
              <w:spacing w:after="0"/>
              <w:rPr>
                <w:sz w:val="1"/>
                <w:szCs w:val="1"/>
                <w:color w:val="auto"/>
              </w:rPr>
            </w:pPr>
          </w:p>
        </w:tc>
      </w:tr>
      <w:tr>
        <w:trPr>
          <w:trHeight w:val="227"/>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8"/>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Herewith</w:t>
            </w:r>
          </w:p>
        </w:tc>
        <w:tc>
          <w:tcPr>
            <w:tcW w:w="0" w:type="dxa"/>
            <w:vAlign w:val="bottom"/>
          </w:tcPr>
          <w:p>
            <w:pPr>
              <w:spacing w:after="0"/>
              <w:rPr>
                <w:sz w:val="1"/>
                <w:szCs w:val="1"/>
                <w:color w:val="auto"/>
              </w:rPr>
            </w:pPr>
          </w:p>
        </w:tc>
      </w:tr>
      <w:tr>
        <w:trPr>
          <w:trHeight w:val="174"/>
        </w:trPr>
        <w:tc>
          <w:tcPr>
            <w:tcW w:w="7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40" w:type="dxa"/>
            <w:vAlign w:val="bottom"/>
            <w:gridSpan w:val="10"/>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FF"/>
              </w:rPr>
              <w:t>Stock Purchase Agreement, dated January 3, 2023, between Progress Software Corporation,</w:t>
            </w:r>
          </w:p>
        </w:tc>
        <w:tc>
          <w:tcPr>
            <w:tcW w:w="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8-K</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1/3/2023</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380" w:type="dxa"/>
            <w:vAlign w:val="bottom"/>
            <w:tcBorders>
              <w:top w:val="single" w:sz="8" w:color="0000FF"/>
              <w:bottom w:val="single" w:sz="8" w:color="0000FF"/>
            </w:tcBorders>
            <w:gridSpan w:val="5"/>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FF"/>
                <w:w w:val="99"/>
              </w:rPr>
              <w:t>Vector Maven Holdings, Inc., and Vector Maven Holdings, L.P.</w:t>
            </w:r>
          </w:p>
        </w:tc>
        <w:tc>
          <w:tcPr>
            <w:tcW w:w="196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0" w:type="dxa"/>
            <w:vAlign w:val="bottom"/>
            <w:tcBorders>
              <w:top w:val="single" w:sz="8" w:color="CCEEFF"/>
              <w:bottom w:val="single" w:sz="8" w:color="CCEEFF"/>
            </w:tcBorders>
            <w:gridSpan w:val="2"/>
            <w:vMerge w:val="continue"/>
            <w:shd w:val="clear" w:color="auto" w:fill="CCEEFF"/>
          </w:tcPr>
          <w:p>
            <w:pPr>
              <w:spacing w:after="0"/>
              <w:rPr>
                <w:sz w:val="15"/>
                <w:szCs w:val="15"/>
                <w:color w:val="auto"/>
              </w:rPr>
            </w:pPr>
          </w:p>
        </w:tc>
        <w:tc>
          <w:tcPr>
            <w:tcW w:w="78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920" w:type="dxa"/>
            <w:vAlign w:val="bottom"/>
            <w:gridSpan w:val="11"/>
          </w:tcPr>
          <w:p>
            <w:pPr>
              <w:spacing w:after="0" w:line="181" w:lineRule="exact"/>
              <w:rPr>
                <w:sz w:val="20"/>
                <w:szCs w:val="20"/>
                <w:color w:val="auto"/>
              </w:rPr>
            </w:pPr>
            <w:r>
              <w:rPr>
                <w:rFonts w:ascii="Times New Roman" w:cs="Times New Roman" w:eastAsia="Times New Roman" w:hAnsi="Times New Roman"/>
                <w:sz w:val="17"/>
                <w:szCs w:val="17"/>
                <w:color w:val="0000FF"/>
              </w:rPr>
              <w:t>Asset Purchase Agreement, dated September 9, 2024, by and between Cloud Software Group, Inc.</w:t>
            </w: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8-K</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9/9/2024</w:t>
            </w:r>
          </w:p>
        </w:tc>
        <w:tc>
          <w:tcPr>
            <w:tcW w:w="8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80" w:type="dxa"/>
            <w:vAlign w:val="bottom"/>
            <w:tcBorders>
              <w:top w:val="single" w:sz="8" w:color="0000FF"/>
            </w:tcBorders>
            <w:gridSpan w:val="9"/>
          </w:tcPr>
          <w:p>
            <w:pPr>
              <w:spacing w:after="0" w:line="161" w:lineRule="exact"/>
              <w:rPr>
                <w:sz w:val="20"/>
                <w:szCs w:val="20"/>
                <w:color w:val="auto"/>
              </w:rPr>
            </w:pPr>
            <w:r>
              <w:rPr>
                <w:rFonts w:ascii="Times New Roman" w:cs="Times New Roman" w:eastAsia="Times New Roman" w:hAnsi="Times New Roman"/>
                <w:sz w:val="17"/>
                <w:szCs w:val="17"/>
                <w:color w:val="0000FF"/>
              </w:rPr>
              <w:t>and Progress Software Corporation</w:t>
            </w:r>
          </w:p>
        </w:tc>
        <w:tc>
          <w:tcPr>
            <w:tcW w:w="140" w:type="dxa"/>
            <w:vAlign w:val="bottom"/>
            <w:gridSpan w:val="2"/>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Borders>
              <w:bottom w:val="single" w:sz="8" w:color="CCEE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20" w:type="dxa"/>
            <w:vAlign w:val="bottom"/>
            <w:tcBorders>
              <w:bottom w:val="single" w:sz="8" w:color="0000FF"/>
            </w:tcBorders>
            <w:gridSpan w:val="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Certificate of Conversion from Non-Delaware Corporation to Delaware Corporation</w:t>
            </w:r>
          </w:p>
        </w:tc>
        <w:tc>
          <w:tcPr>
            <w:tcW w:w="1100" w:type="dxa"/>
            <w:vAlign w:val="bottom"/>
            <w:tcBorders>
              <w:bottom w:val="single" w:sz="8" w:color="CCEEFF"/>
            </w:tcBorders>
            <w:gridSpan w:val="4"/>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center"/>
              <w:ind w:right="80"/>
              <w:spacing w:after="0" w:line="190" w:lineRule="exact"/>
              <w:rPr>
                <w:sz w:val="20"/>
                <w:szCs w:val="20"/>
                <w:color w:val="auto"/>
              </w:rPr>
            </w:pPr>
            <w:r>
              <w:rPr>
                <w:rFonts w:ascii="Times New Roman" w:cs="Times New Roman" w:eastAsia="Times New Roman" w:hAnsi="Times New Roman"/>
                <w:sz w:val="17"/>
                <w:szCs w:val="17"/>
                <w:color w:val="auto"/>
              </w:rPr>
              <w:t>8-K</w:t>
            </w:r>
          </w:p>
        </w:tc>
        <w:tc>
          <w:tcPr>
            <w:tcW w:w="780" w:type="dxa"/>
            <w:vAlign w:val="bottom"/>
            <w:tcBorders>
              <w:bottom w:val="single" w:sz="8" w:color="CCEE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5/14/2015</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Borders>
              <w:bottom w:val="single" w:sz="8" w:color="0000FF"/>
            </w:tcBorders>
          </w:tcPr>
          <w:p>
            <w:pPr>
              <w:spacing w:after="0" w:line="181" w:lineRule="exact"/>
              <w:rPr>
                <w:sz w:val="20"/>
                <w:szCs w:val="20"/>
                <w:color w:val="auto"/>
              </w:rPr>
            </w:pPr>
            <w:r>
              <w:rPr>
                <w:rFonts w:ascii="Times New Roman" w:cs="Times New Roman" w:eastAsia="Times New Roman" w:hAnsi="Times New Roman"/>
                <w:sz w:val="17"/>
                <w:szCs w:val="17"/>
                <w:color w:val="0000FF"/>
              </w:rPr>
              <w:t>Certificate of Incorporation</w:t>
            </w:r>
          </w:p>
        </w:tc>
        <w:tc>
          <w:tcPr>
            <w:tcW w:w="5020" w:type="dxa"/>
            <w:vAlign w:val="bottom"/>
            <w:gridSpan w:val="10"/>
          </w:tcPr>
          <w:p>
            <w:pPr>
              <w:spacing w:after="0"/>
              <w:rPr>
                <w:sz w:val="16"/>
                <w:szCs w:val="16"/>
                <w:color w:val="auto"/>
              </w:rPr>
            </w:pPr>
          </w:p>
        </w:tc>
        <w:tc>
          <w:tcPr>
            <w:tcW w:w="8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color w:val="auto"/>
              </w:rPr>
              <w:t>8-K</w:t>
            </w:r>
          </w:p>
        </w:tc>
        <w:tc>
          <w:tcPr>
            <w:tcW w:w="78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5/14/2015</w:t>
            </w:r>
          </w:p>
        </w:tc>
        <w:tc>
          <w:tcPr>
            <w:tcW w:w="80" w:type="dxa"/>
            <w:vAlign w:val="bottom"/>
          </w:tcPr>
          <w:p>
            <w:pPr>
              <w:spacing w:after="0"/>
              <w:rPr>
                <w:sz w:val="16"/>
                <w:szCs w:val="16"/>
                <w:color w:val="auto"/>
              </w:rPr>
            </w:pPr>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CCEE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w w:val="99"/>
              </w:rPr>
              <w:t>3.2.1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0000FF"/>
            </w:tcBorders>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Certificate of Correction to Certification of Incorporation</w:t>
            </w:r>
          </w:p>
        </w:tc>
        <w:tc>
          <w:tcPr>
            <w:tcW w:w="2960" w:type="dxa"/>
            <w:vAlign w:val="bottom"/>
            <w:tcBorders>
              <w:bottom w:val="single" w:sz="8" w:color="CCEEFF"/>
            </w:tcBorders>
            <w:gridSpan w:val="7"/>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center"/>
              <w:ind w:right="80"/>
              <w:spacing w:after="0" w:line="190" w:lineRule="exact"/>
              <w:rPr>
                <w:sz w:val="20"/>
                <w:szCs w:val="20"/>
                <w:color w:val="auto"/>
              </w:rPr>
            </w:pPr>
            <w:r>
              <w:rPr>
                <w:rFonts w:ascii="Times New Roman" w:cs="Times New Roman" w:eastAsia="Times New Roman" w:hAnsi="Times New Roman"/>
                <w:sz w:val="17"/>
                <w:szCs w:val="17"/>
                <w:color w:val="auto"/>
              </w:rPr>
              <w:t>10-K</w:t>
            </w:r>
          </w:p>
        </w:tc>
        <w:tc>
          <w:tcPr>
            <w:tcW w:w="780" w:type="dxa"/>
            <w:vAlign w:val="bottom"/>
            <w:tcBorders>
              <w:bottom w:val="single" w:sz="8" w:color="CCEE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1/29/2016</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w w:val="99"/>
              </w:rPr>
              <w:t>3.2.1</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tcBorders>
              <w:bottom w:val="single" w:sz="8" w:color="0000FF"/>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FF"/>
              </w:rPr>
              <w:t>Amended and Restated By-Laws, as amended January 14, 2025</w:t>
            </w:r>
          </w:p>
        </w:tc>
        <w:tc>
          <w:tcPr>
            <w:tcW w:w="2520" w:type="dxa"/>
            <w:vAlign w:val="bottom"/>
            <w:gridSpan w:val="5"/>
          </w:tcPr>
          <w:p>
            <w:pPr>
              <w:spacing w:after="0"/>
              <w:rPr>
                <w:sz w:val="16"/>
                <w:szCs w:val="16"/>
                <w:color w:val="auto"/>
              </w:rPr>
            </w:pPr>
          </w:p>
        </w:tc>
        <w:tc>
          <w:tcPr>
            <w:tcW w:w="8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color w:val="auto"/>
              </w:rPr>
              <w:t>10-K</w:t>
            </w:r>
          </w:p>
        </w:tc>
        <w:tc>
          <w:tcPr>
            <w:tcW w:w="78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1/21/2025</w:t>
            </w:r>
          </w:p>
        </w:tc>
        <w:tc>
          <w:tcPr>
            <w:tcW w:w="80" w:type="dxa"/>
            <w:vAlign w:val="bottom"/>
          </w:tcPr>
          <w:p>
            <w:pPr>
              <w:spacing w:after="0"/>
              <w:rPr>
                <w:sz w:val="16"/>
                <w:szCs w:val="16"/>
                <w:color w:val="auto"/>
              </w:rPr>
            </w:pPr>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920" w:type="dxa"/>
            <w:vAlign w:val="bottom"/>
            <w:gridSpan w:val="11"/>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Specimen certificate for the Common Stock</w:t>
            </w:r>
          </w:p>
        </w:tc>
        <w:tc>
          <w:tcPr>
            <w:tcW w:w="800" w:type="dxa"/>
            <w:vAlign w:val="bottom"/>
            <w:gridSpan w:val="2"/>
            <w:shd w:val="clear" w:color="auto" w:fill="CCEEFF"/>
          </w:tcPr>
          <w:p>
            <w:pPr>
              <w:jc w:val="center"/>
              <w:ind w:right="80"/>
              <w:spacing w:after="0" w:line="190" w:lineRule="exact"/>
              <w:rPr>
                <w:sz w:val="20"/>
                <w:szCs w:val="20"/>
                <w:color w:val="auto"/>
              </w:rPr>
            </w:pPr>
            <w:r>
              <w:rPr>
                <w:rFonts w:ascii="Times New Roman" w:cs="Times New Roman" w:eastAsia="Times New Roman" w:hAnsi="Times New Roman"/>
                <w:sz w:val="17"/>
                <w:szCs w:val="17"/>
                <w:color w:val="auto"/>
              </w:rPr>
              <w:t>10-K</w:t>
            </w:r>
          </w:p>
        </w:tc>
        <w:tc>
          <w:tcPr>
            <w:tcW w:w="78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1/30/2012</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12"/>
        </w:trPr>
        <w:tc>
          <w:tcPr>
            <w:tcW w:w="7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20" w:type="dxa"/>
            <w:vAlign w:val="bottom"/>
            <w:tcBorders>
              <w:top w:val="single" w:sz="8" w:color="0000FF"/>
            </w:tcBorders>
            <w:gridSpan w:val="3"/>
          </w:tcPr>
          <w:p>
            <w:pPr>
              <w:spacing w:after="0"/>
              <w:rPr>
                <w:sz w:val="24"/>
                <w:szCs w:val="24"/>
                <w:color w:val="auto"/>
              </w:rPr>
            </w:pPr>
          </w:p>
        </w:tc>
        <w:tc>
          <w:tcPr>
            <w:tcW w:w="2800" w:type="dxa"/>
            <w:vAlign w:val="bottom"/>
            <w:tcBorders>
              <w:top w:val="single" w:sz="8" w:color="CCEEFF"/>
            </w:tcBorders>
            <w:gridSpan w:val="4"/>
          </w:tcPr>
          <w:p>
            <w:pPr>
              <w:jc w:val="right"/>
              <w:ind w:right="900"/>
              <w:spacing w:after="0"/>
              <w:rPr>
                <w:sz w:val="20"/>
                <w:szCs w:val="20"/>
                <w:color w:val="auto"/>
              </w:rPr>
            </w:pPr>
            <w:r>
              <w:rPr>
                <w:rFonts w:ascii="Times New Roman" w:cs="Times New Roman" w:eastAsia="Times New Roman" w:hAnsi="Times New Roman"/>
                <w:sz w:val="17"/>
                <w:szCs w:val="17"/>
                <w:color w:val="auto"/>
              </w:rPr>
              <w:t>76</w:t>
            </w:r>
          </w:p>
        </w:tc>
        <w:tc>
          <w:tcPr>
            <w:tcW w:w="5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76" w:name="page77"/>
    <w:bookmarkEnd w:id="76"/>
    <w:tbl>
      <w:tblPr>
        <w:tblLayout w:type="fixed"/>
        <w:tblInd w:w="40" w:type="dxa"/>
        <w:tblCellMar>
          <w:top w:w="0" w:type="dxa"/>
          <w:left w:w="0" w:type="dxa"/>
          <w:bottom w:w="0" w:type="dxa"/>
          <w:right w:w="0" w:type="dxa"/>
        </w:tblCellMar>
      </w:tblPr>
      <w:tr>
        <w:trPr>
          <w:trHeight w:val="227"/>
        </w:trPr>
        <w:tc>
          <w:tcPr>
            <w:tcW w:w="20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6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20" w:type="dxa"/>
            <w:vAlign w:val="bottom"/>
          </w:tcPr>
          <w:p>
            <w:pPr>
              <w:jc w:val="center"/>
              <w:ind w:right="1314"/>
              <w:spacing w:after="0" w:line="161" w:lineRule="exact"/>
              <w:rPr>
                <w:sz w:val="20"/>
                <w:szCs w:val="20"/>
                <w:color w:val="auto"/>
              </w:rPr>
            </w:pPr>
            <w:r>
              <w:rPr>
                <w:rFonts w:ascii="Times New Roman" w:cs="Times New Roman" w:eastAsia="Times New Roman" w:hAnsi="Times New Roman"/>
                <w:sz w:val="17"/>
                <w:szCs w:val="17"/>
                <w:b w:val="1"/>
                <w:bCs w:val="1"/>
                <w:color w:val="auto"/>
              </w:rPr>
              <w:t>Exhibit</w:t>
            </w:r>
          </w:p>
        </w:tc>
        <w:tc>
          <w:tcPr>
            <w:tcW w:w="5620" w:type="dxa"/>
            <w:vAlign w:val="bottom"/>
            <w:vMerge w:val="restart"/>
          </w:tcPr>
          <w:p>
            <w:pPr>
              <w:ind w:left="140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Form</w:t>
            </w:r>
          </w:p>
        </w:tc>
        <w:tc>
          <w:tcPr>
            <w:tcW w:w="8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Filing</w:t>
            </w: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860" w:type="dxa"/>
            <w:vAlign w:val="bottom"/>
          </w:tcPr>
          <w:p>
            <w:pPr>
              <w:jc w:val="center"/>
              <w:ind w:left="114"/>
              <w:spacing w:after="0" w:line="161" w:lineRule="exact"/>
              <w:rPr>
                <w:sz w:val="20"/>
                <w:szCs w:val="20"/>
                <w:color w:val="auto"/>
              </w:rPr>
            </w:pPr>
            <w:r>
              <w:rPr>
                <w:rFonts w:ascii="Times New Roman" w:cs="Times New Roman" w:eastAsia="Times New Roman" w:hAnsi="Times New Roman"/>
                <w:sz w:val="17"/>
                <w:szCs w:val="17"/>
                <w:b w:val="1"/>
                <w:bCs w:val="1"/>
                <w:color w:val="auto"/>
              </w:rPr>
              <w:t>Filed</w:t>
            </w:r>
          </w:p>
        </w:tc>
        <w:tc>
          <w:tcPr>
            <w:tcW w:w="0" w:type="dxa"/>
            <w:vAlign w:val="bottom"/>
          </w:tcPr>
          <w:p>
            <w:pPr>
              <w:spacing w:after="0"/>
              <w:rPr>
                <w:sz w:val="1"/>
                <w:szCs w:val="1"/>
                <w:color w:val="auto"/>
              </w:rPr>
            </w:pPr>
          </w:p>
        </w:tc>
      </w:tr>
      <w:tr>
        <w:trPr>
          <w:trHeight w:val="233"/>
        </w:trPr>
        <w:tc>
          <w:tcPr>
            <w:tcW w:w="2020" w:type="dxa"/>
            <w:vAlign w:val="bottom"/>
          </w:tcPr>
          <w:p>
            <w:pPr>
              <w:jc w:val="center"/>
              <w:ind w:right="1314"/>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562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940" w:type="dxa"/>
            <w:vAlign w:val="bottom"/>
            <w:vMerge w:val="continue"/>
          </w:tcPr>
          <w:p>
            <w:pPr>
              <w:spacing w:after="0"/>
              <w:rPr>
                <w:sz w:val="20"/>
                <w:szCs w:val="20"/>
                <w:color w:val="auto"/>
              </w:rPr>
            </w:pPr>
          </w:p>
        </w:tc>
        <w:tc>
          <w:tcPr>
            <w:tcW w:w="860" w:type="dxa"/>
            <w:vAlign w:val="bottom"/>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035" cy="147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tbl>
      <w:tblPr>
        <w:tblLayout w:type="fixed"/>
        <w:tblInd w:w="0" w:type="dxa"/>
        <w:tblCellMar>
          <w:top w:w="0" w:type="dxa"/>
          <w:left w:w="0" w:type="dxa"/>
          <w:bottom w:w="0" w:type="dxa"/>
          <w:right w:w="0" w:type="dxa"/>
        </w:tblCellMar>
      </w:tblPr>
      <w:tr>
        <w:trPr>
          <w:trHeight w:val="174"/>
        </w:trPr>
        <w:tc>
          <w:tcPr>
            <w:tcW w:w="70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500" w:type="dxa"/>
            <w:vAlign w:val="bottom"/>
            <w:tcBorders>
              <w:top w:val="single" w:sz="8" w:color="auto"/>
              <w:bottom w:val="single" w:sz="8" w:color="0000FF"/>
            </w:tcBorders>
            <w:gridSpan w:val="6"/>
          </w:tcPr>
          <w:p>
            <w:pPr>
              <w:spacing w:after="0" w:line="174" w:lineRule="exact"/>
              <w:rPr>
                <w:sz w:val="20"/>
                <w:szCs w:val="20"/>
                <w:color w:val="auto"/>
              </w:rPr>
            </w:pPr>
            <w:r>
              <w:rPr>
                <w:rFonts w:ascii="Times New Roman" w:cs="Times New Roman" w:eastAsia="Times New Roman" w:hAnsi="Times New Roman"/>
                <w:sz w:val="17"/>
                <w:szCs w:val="17"/>
                <w:color w:val="0000FF"/>
              </w:rPr>
              <w:t>Description of Registered Securities</w:t>
            </w:r>
          </w:p>
        </w:tc>
        <w:tc>
          <w:tcPr>
            <w:tcW w:w="4320" w:type="dxa"/>
            <w:vAlign w:val="bottom"/>
            <w:tcBorders>
              <w:top w:val="single" w:sz="8" w:color="auto"/>
            </w:tcBorders>
            <w:gridSpan w:val="26"/>
          </w:tcPr>
          <w:p>
            <w:pPr>
              <w:spacing w:after="0"/>
              <w:rPr>
                <w:sz w:val="15"/>
                <w:szCs w:val="15"/>
                <w:color w:val="auto"/>
              </w:rPr>
            </w:pPr>
          </w:p>
        </w:tc>
      </w:tr>
      <w:tr>
        <w:trPr>
          <w:trHeight w:val="20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Indenture, dated as of April 13, 2021, between Progress Software Corporation and U.S. Bank</w:t>
            </w: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60" w:type="dxa"/>
            <w:vAlign w:val="bottom"/>
            <w:tcBorders>
              <w:top w:val="single" w:sz="8" w:color="0000FF"/>
            </w:tcBorders>
            <w:gridSpan w:val="22"/>
          </w:tcPr>
          <w:p>
            <w:pPr>
              <w:spacing w:after="0" w:line="148" w:lineRule="exact"/>
              <w:rPr>
                <w:sz w:val="20"/>
                <w:szCs w:val="20"/>
                <w:color w:val="auto"/>
              </w:rPr>
            </w:pPr>
            <w:r>
              <w:rPr>
                <w:rFonts w:ascii="Times New Roman" w:cs="Times New Roman" w:eastAsia="Times New Roman" w:hAnsi="Times New Roman"/>
                <w:sz w:val="17"/>
                <w:szCs w:val="17"/>
                <w:color w:val="0000FF"/>
              </w:rPr>
              <w:t>National Association, as trustee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Form of 1.00% Convertible Senior Note due 2026 (included as Exhibit A in Exhibit 4.3)</w:t>
            </w:r>
          </w:p>
        </w:tc>
        <w:tc>
          <w:tcPr>
            <w:tcW w:w="700" w:type="dxa"/>
            <w:vAlign w:val="bottom"/>
            <w:gridSpan w:val="14"/>
          </w:tcPr>
          <w:p>
            <w:pPr>
              <w:spacing w:after="0"/>
              <w:rPr>
                <w:sz w:val="18"/>
                <w:szCs w:val="18"/>
                <w:color w:val="auto"/>
              </w:rPr>
            </w:pPr>
          </w:p>
        </w:tc>
      </w:tr>
      <w:tr>
        <w:trPr>
          <w:trHeight w:val="20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Indenture, dated as of March 1, 2024, between Progress Software Corporation and U.S. Bank</w:t>
            </w: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40" w:type="dxa"/>
            <w:vAlign w:val="bottom"/>
            <w:tcBorders>
              <w:top w:val="single" w:sz="8" w:color="0000FF"/>
            </w:tcBorders>
            <w:gridSpan w:val="21"/>
          </w:tcPr>
          <w:p>
            <w:pPr>
              <w:spacing w:after="0" w:line="148" w:lineRule="exact"/>
              <w:rPr>
                <w:sz w:val="20"/>
                <w:szCs w:val="20"/>
                <w:color w:val="auto"/>
              </w:rPr>
            </w:pPr>
            <w:r>
              <w:rPr>
                <w:rFonts w:ascii="Times New Roman" w:cs="Times New Roman" w:eastAsia="Times New Roman" w:hAnsi="Times New Roman"/>
                <w:sz w:val="17"/>
                <w:szCs w:val="17"/>
                <w:color w:val="0000FF"/>
              </w:rPr>
              <w:t>Trust Company, National Association, as trustee</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Form of 3.50% Convertible Senior Note due 2030 (included as Exhibit A in Exhibit 4.5)</w:t>
            </w:r>
          </w:p>
        </w:tc>
        <w:tc>
          <w:tcPr>
            <w:tcW w:w="720" w:type="dxa"/>
            <w:vAlign w:val="bottom"/>
            <w:gridSpan w:val="15"/>
          </w:tcPr>
          <w:p>
            <w:pPr>
              <w:spacing w:after="0"/>
              <w:rPr>
                <w:sz w:val="18"/>
                <w:szCs w:val="18"/>
                <w:color w:val="auto"/>
              </w:rPr>
            </w:pPr>
          </w:p>
        </w:tc>
      </w:tr>
      <w:tr>
        <w:trPr>
          <w:trHeight w:val="20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2002 Nonqualified Stock Plan, as amended and restated</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7"/>
                <w:szCs w:val="17"/>
                <w:color w:val="0000FF"/>
              </w:rPr>
              <w:t>Progress Software Corporation 1991 Employee Stock Purchase Plan, as amended and restated</w:t>
            </w:r>
          </w:p>
        </w:tc>
        <w:tc>
          <w:tcPr>
            <w:tcW w:w="340" w:type="dxa"/>
            <w:vAlign w:val="bottom"/>
            <w:gridSpan w:val="9"/>
          </w:tcPr>
          <w:p>
            <w:pPr>
              <w:spacing w:after="0"/>
              <w:rPr>
                <w:sz w:val="17"/>
                <w:szCs w:val="17"/>
                <w:color w:val="auto"/>
              </w:rPr>
            </w:pPr>
          </w:p>
        </w:tc>
      </w:tr>
      <w:tr>
        <w:trPr>
          <w:trHeight w:val="20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rPr>
              <w:t>Progress Software Corporation 2008 Stock Option and Incentive Plan, as amended and restated</w:t>
            </w:r>
          </w:p>
        </w:tc>
        <w:tc>
          <w:tcPr>
            <w:tcW w:w="240" w:type="dxa"/>
            <w:vAlign w:val="bottom"/>
            <w:gridSpan w:val="6"/>
          </w:tcPr>
          <w:p>
            <w:pPr>
              <w:spacing w:after="0"/>
              <w:rPr>
                <w:sz w:val="17"/>
                <w:szCs w:val="17"/>
                <w:color w:val="auto"/>
              </w:rPr>
            </w:pPr>
          </w:p>
        </w:tc>
      </w:tr>
      <w:tr>
        <w:trPr>
          <w:trHeight w:val="20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Form of Notice of Grant of Stock Options and Grant Agreement under the Progress Software</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32"/>
          </w:tcPr>
          <w:p>
            <w:pPr>
              <w:spacing w:after="0" w:line="148" w:lineRule="exact"/>
              <w:rPr>
                <w:sz w:val="20"/>
                <w:szCs w:val="20"/>
                <w:color w:val="auto"/>
              </w:rPr>
            </w:pPr>
            <w:r>
              <w:rPr>
                <w:rFonts w:ascii="Times New Roman" w:cs="Times New Roman" w:eastAsia="Times New Roman" w:hAnsi="Times New Roman"/>
                <w:sz w:val="17"/>
                <w:szCs w:val="17"/>
                <w:color w:val="0000FF"/>
              </w:rPr>
              <w:t>Corporation 2008 Stock Option and Incentive Plan (supersedes agreement filed as Exhibit 10.5 to</w:t>
            </w: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00" w:type="dxa"/>
            <w:vAlign w:val="bottom"/>
            <w:tcBorders>
              <w:top w:val="single" w:sz="8" w:color="0000FF"/>
              <w:bottom w:val="single" w:sz="8" w:color="0000FF"/>
            </w:tcBorders>
            <w:gridSpan w:val="19"/>
          </w:tcPr>
          <w:p>
            <w:pPr>
              <w:spacing w:after="0" w:line="148" w:lineRule="exact"/>
              <w:rPr>
                <w:sz w:val="20"/>
                <w:szCs w:val="20"/>
                <w:color w:val="auto"/>
              </w:rPr>
            </w:pPr>
            <w:r>
              <w:rPr>
                <w:rFonts w:ascii="Times New Roman" w:cs="Times New Roman" w:eastAsia="Times New Roman" w:hAnsi="Times New Roman"/>
                <w:sz w:val="17"/>
                <w:szCs w:val="17"/>
                <w:color w:val="0000FF"/>
              </w:rPr>
              <w:t>the Company's Annual Report on Form 10-K for the fiscal year ended November 30, 2024)</w:t>
            </w:r>
          </w:p>
        </w:tc>
        <w:tc>
          <w:tcPr>
            <w:tcW w:w="4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Progress Software Corporation Corporate Executive Bonus Plan</w:t>
            </w:r>
          </w:p>
        </w:tc>
        <w:tc>
          <w:tcPr>
            <w:tcW w:w="2380" w:type="dxa"/>
            <w:vAlign w:val="bottom"/>
            <w:gridSpan w:val="20"/>
          </w:tcPr>
          <w:p>
            <w:pPr>
              <w:spacing w:after="0"/>
              <w:rPr>
                <w:sz w:val="18"/>
                <w:szCs w:val="18"/>
                <w:color w:val="auto"/>
              </w:rPr>
            </w:pPr>
          </w:p>
        </w:tc>
      </w:tr>
      <w:tr>
        <w:trPr>
          <w:trHeight w:val="20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Progress Software Corporation Compensation Program for Non-Employee Directors</w:t>
            </w:r>
          </w:p>
        </w:tc>
        <w:tc>
          <w:tcPr>
            <w:tcW w:w="980" w:type="dxa"/>
            <w:vAlign w:val="bottom"/>
            <w:gridSpan w:val="16"/>
          </w:tcPr>
          <w:p>
            <w:pPr>
              <w:spacing w:after="0"/>
              <w:rPr>
                <w:sz w:val="17"/>
                <w:szCs w:val="17"/>
                <w:color w:val="auto"/>
              </w:rPr>
            </w:pPr>
          </w:p>
        </w:tc>
      </w:tr>
      <w:tr>
        <w:trPr>
          <w:trHeight w:val="20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Form of Performance-Based Stock Unit Agreement under the Amended and Restated Progress</w:t>
            </w: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20" w:type="dxa"/>
            <w:vAlign w:val="bottom"/>
            <w:tcBorders>
              <w:top w:val="single" w:sz="8" w:color="0000FF"/>
            </w:tcBorders>
            <w:gridSpan w:val="25"/>
          </w:tcPr>
          <w:p>
            <w:pPr>
              <w:spacing w:after="0" w:line="148" w:lineRule="exact"/>
              <w:rPr>
                <w:sz w:val="20"/>
                <w:szCs w:val="20"/>
                <w:color w:val="auto"/>
              </w:rPr>
            </w:pPr>
            <w:r>
              <w:rPr>
                <w:rFonts w:ascii="Times New Roman" w:cs="Times New Roman" w:eastAsia="Times New Roman" w:hAnsi="Times New Roman"/>
                <w:sz w:val="17"/>
                <w:szCs w:val="17"/>
                <w:color w:val="0000FF"/>
              </w:rPr>
              <w:t>Software Corporation 2008 Stock Option and Incentive Plan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Form of Deferred Stock Unit Agreement under the Progress Software Corporation 2008 Stock</w:t>
            </w: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tcBorders>
              <w:top w:val="single" w:sz="8" w:color="0000FF"/>
            </w:tcBorders>
            <w:gridSpan w:val="24"/>
          </w:tcPr>
          <w:p>
            <w:pPr>
              <w:spacing w:after="0" w:line="148" w:lineRule="exact"/>
              <w:rPr>
                <w:sz w:val="20"/>
                <w:szCs w:val="20"/>
                <w:color w:val="auto"/>
              </w:rPr>
            </w:pPr>
            <w:r>
              <w:rPr>
                <w:rFonts w:ascii="Times New Roman" w:cs="Times New Roman" w:eastAsia="Times New Roman" w:hAnsi="Times New Roman"/>
                <w:sz w:val="17"/>
                <w:szCs w:val="17"/>
                <w:color w:val="0000FF"/>
              </w:rPr>
              <w:t>Option and Incentive Plan</w:t>
            </w:r>
          </w:p>
        </w:tc>
        <w:tc>
          <w:tcPr>
            <w:tcW w:w="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Form of Non-Qualified Stock Option Agreement for Non-Employee Directors under the Progress</w:t>
            </w: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80" w:type="dxa"/>
            <w:vAlign w:val="bottom"/>
            <w:tcBorders>
              <w:top w:val="single" w:sz="8" w:color="0000FF"/>
              <w:bottom w:val="single" w:sz="8" w:color="0000FF"/>
            </w:tcBorders>
            <w:gridSpan w:val="14"/>
          </w:tcPr>
          <w:p>
            <w:pPr>
              <w:spacing w:after="0" w:line="148" w:lineRule="exact"/>
              <w:rPr>
                <w:sz w:val="20"/>
                <w:szCs w:val="20"/>
                <w:color w:val="auto"/>
              </w:rPr>
            </w:pPr>
            <w:r>
              <w:rPr>
                <w:rFonts w:ascii="Times New Roman" w:cs="Times New Roman" w:eastAsia="Times New Roman" w:hAnsi="Times New Roman"/>
                <w:sz w:val="17"/>
                <w:szCs w:val="17"/>
                <w:color w:val="0000FF"/>
              </w:rPr>
              <w:t>Software Corporation 2008 Stock Option and Incentive Plan (Initial Grant)</w:t>
            </w:r>
          </w:p>
        </w:tc>
        <w:tc>
          <w:tcPr>
            <w:tcW w:w="1540" w:type="dxa"/>
            <w:vAlign w:val="bottom"/>
            <w:tcBorders>
              <w:top w:val="single" w:sz="8" w:color="0000FF"/>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Form of Non-Qualified Stock Option Agreement for Non-Employee Directors under the Progress</w:t>
            </w: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20" w:type="dxa"/>
            <w:vAlign w:val="bottom"/>
            <w:tcBorders>
              <w:top w:val="single" w:sz="8" w:color="0000FF"/>
            </w:tcBorders>
            <w:gridSpan w:val="27"/>
          </w:tcPr>
          <w:p>
            <w:pPr>
              <w:spacing w:after="0" w:line="148" w:lineRule="exact"/>
              <w:rPr>
                <w:sz w:val="20"/>
                <w:szCs w:val="20"/>
                <w:color w:val="auto"/>
              </w:rPr>
            </w:pPr>
            <w:r>
              <w:rPr>
                <w:rFonts w:ascii="Times New Roman" w:cs="Times New Roman" w:eastAsia="Times New Roman" w:hAnsi="Times New Roman"/>
                <w:sz w:val="17"/>
                <w:szCs w:val="17"/>
                <w:color w:val="0000FF"/>
              </w:rPr>
              <w:t>Software Corporation 2008 Stock Option and Incentive Plan (Annual Grant)</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Form of Restricted Stock Unit Agreement under the Progress Software Corporation 2008 Stock</w:t>
            </w: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80" w:type="dxa"/>
            <w:vAlign w:val="bottom"/>
            <w:tcBorders>
              <w:top w:val="single" w:sz="8" w:color="0000FF"/>
            </w:tcBorders>
            <w:gridSpan w:val="26"/>
          </w:tcPr>
          <w:p>
            <w:pPr>
              <w:spacing w:after="0" w:line="148" w:lineRule="exact"/>
              <w:rPr>
                <w:sz w:val="20"/>
                <w:szCs w:val="20"/>
                <w:color w:val="auto"/>
              </w:rPr>
            </w:pPr>
            <w:r>
              <w:rPr>
                <w:rFonts w:ascii="Times New Roman" w:cs="Times New Roman" w:eastAsia="Times New Roman" w:hAnsi="Times New Roman"/>
                <w:sz w:val="17"/>
                <w:szCs w:val="17"/>
                <w:color w:val="0000FF"/>
              </w:rPr>
              <w:t>Option and Incentive Plan</w:t>
            </w:r>
          </w:p>
        </w:tc>
        <w:tc>
          <w:tcPr>
            <w:tcW w:w="1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Employment Agreement, dated October 10, 2016, by and between Progress Software Corporation</w:t>
            </w: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80" w:type="dxa"/>
            <w:vAlign w:val="bottom"/>
            <w:tcBorders>
              <w:top w:val="single" w:sz="8" w:color="0000FF"/>
            </w:tcBorders>
            <w:gridSpan w:val="30"/>
          </w:tcPr>
          <w:p>
            <w:pPr>
              <w:spacing w:after="0" w:line="148" w:lineRule="exact"/>
              <w:rPr>
                <w:sz w:val="20"/>
                <w:szCs w:val="20"/>
                <w:color w:val="auto"/>
              </w:rPr>
            </w:pPr>
            <w:r>
              <w:rPr>
                <w:rFonts w:ascii="Times New Roman" w:cs="Times New Roman" w:eastAsia="Times New Roman" w:hAnsi="Times New Roman"/>
                <w:sz w:val="17"/>
                <w:szCs w:val="17"/>
                <w:color w:val="0000FF"/>
              </w:rPr>
              <w:t>and Yogesh Gupta</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Employee Retention and Motivation Agreement, dated as of November 19, 2025, by and between</w:t>
            </w: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60" w:type="dxa"/>
            <w:vAlign w:val="bottom"/>
            <w:tcBorders>
              <w:top w:val="single" w:sz="8" w:color="0000FF"/>
              <w:bottom w:val="single" w:sz="8" w:color="0000FF"/>
            </w:tcBorders>
            <w:gridSpan w:val="29"/>
          </w:tcPr>
          <w:p>
            <w:pPr>
              <w:spacing w:after="0" w:line="148" w:lineRule="exact"/>
              <w:rPr>
                <w:sz w:val="20"/>
                <w:szCs w:val="20"/>
                <w:color w:val="auto"/>
              </w:rPr>
            </w:pPr>
            <w:r>
              <w:rPr>
                <w:rFonts w:ascii="Times New Roman" w:cs="Times New Roman" w:eastAsia="Times New Roman" w:hAnsi="Times New Roman"/>
                <w:sz w:val="17"/>
                <w:szCs w:val="17"/>
                <w:color w:val="0000FF"/>
              </w:rPr>
              <w:t>Progress Software Corporation and Yogesh Gupta (supersedes agreement filed as Exhibit 10.14 to</w:t>
            </w: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00" w:type="dxa"/>
            <w:vAlign w:val="bottom"/>
            <w:tcBorders>
              <w:bottom w:val="single" w:sz="8" w:color="0000FF"/>
            </w:tcBorders>
            <w:gridSpan w:val="19"/>
          </w:tcPr>
          <w:p>
            <w:pPr>
              <w:spacing w:after="0" w:line="148" w:lineRule="exact"/>
              <w:rPr>
                <w:sz w:val="20"/>
                <w:szCs w:val="20"/>
                <w:color w:val="auto"/>
              </w:rPr>
            </w:pPr>
            <w:r>
              <w:rPr>
                <w:rFonts w:ascii="Times New Roman" w:cs="Times New Roman" w:eastAsia="Times New Roman" w:hAnsi="Times New Roman"/>
                <w:sz w:val="17"/>
                <w:szCs w:val="17"/>
                <w:color w:val="0000FF"/>
              </w:rPr>
              <w:t>the Company's Annual Report on Form 10-K for the fiscal year ended November 30, 2024)</w:t>
            </w:r>
          </w:p>
        </w:tc>
        <w:tc>
          <w:tcPr>
            <w:tcW w:w="50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r>
      <w:tr>
        <w:trPr>
          <w:trHeight w:val="21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Employment Agreement, dated January 16, 2020, by and between Progress Software Corporation</w:t>
            </w: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40" w:type="dxa"/>
            <w:vAlign w:val="bottom"/>
            <w:tcBorders>
              <w:top w:val="single" w:sz="8" w:color="0000FF"/>
            </w:tcBorders>
            <w:gridSpan w:val="28"/>
          </w:tcPr>
          <w:p>
            <w:pPr>
              <w:spacing w:after="0" w:line="148" w:lineRule="exact"/>
              <w:rPr>
                <w:sz w:val="20"/>
                <w:szCs w:val="20"/>
                <w:color w:val="auto"/>
              </w:rPr>
            </w:pPr>
            <w:r>
              <w:rPr>
                <w:rFonts w:ascii="Times New Roman" w:cs="Times New Roman" w:eastAsia="Times New Roman" w:hAnsi="Times New Roman"/>
                <w:sz w:val="17"/>
                <w:szCs w:val="17"/>
                <w:color w:val="0000FF"/>
              </w:rPr>
              <w:t>and Anthony Folger</w:t>
            </w:r>
          </w:p>
        </w:tc>
        <w:tc>
          <w:tcPr>
            <w:tcW w:w="80" w:type="dxa"/>
            <w:vAlign w:val="bottom"/>
            <w:gridSpan w:val="4"/>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360" w:type="dxa"/>
            <w:vAlign w:val="bottom"/>
            <w:gridSpan w:val="19"/>
          </w:tcPr>
          <w:p>
            <w:pPr>
              <w:spacing w:after="0" w:line="20" w:lineRule="exact"/>
              <w:rPr>
                <w:sz w:val="1"/>
                <w:szCs w:val="1"/>
                <w:color w:val="auto"/>
              </w:rPr>
            </w:pPr>
          </w:p>
        </w:tc>
      </w:tr>
      <w:tr>
        <w:trPr>
          <w:trHeight w:val="21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Form of Employee Retention and Motivation Agreement (Amended and Restated as of January 9,</w:t>
            </w: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w w:val="95"/>
              </w:rPr>
              <w:t>2023)</w:t>
            </w:r>
          </w:p>
        </w:tc>
        <w:tc>
          <w:tcPr>
            <w:tcW w:w="8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Form of Termination Letter (Executive Officers)</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7"/>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360" w:type="dxa"/>
            <w:vAlign w:val="bottom"/>
            <w:gridSpan w:val="19"/>
          </w:tcPr>
          <w:p>
            <w:pPr>
              <w:spacing w:after="0" w:line="20" w:lineRule="exact"/>
              <w:rPr>
                <w:sz w:val="1"/>
                <w:szCs w:val="1"/>
                <w:color w:val="auto"/>
              </w:rPr>
            </w:pPr>
          </w:p>
        </w:tc>
      </w:tr>
      <w:tr>
        <w:trPr>
          <w:trHeight w:val="20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Form of Separation Agreement and Release (Executive Officers)</w:t>
            </w:r>
          </w:p>
        </w:tc>
      </w:tr>
      <w:tr>
        <w:trPr>
          <w:trHeight w:val="20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Form of 2021 Capped Call Confirmation</w:t>
            </w:r>
          </w:p>
        </w:tc>
        <w:tc>
          <w:tcPr>
            <w:tcW w:w="1640" w:type="dxa"/>
            <w:vAlign w:val="bottom"/>
            <w:tcBorders>
              <w:top w:val="single" w:sz="8" w:color="0000FF"/>
            </w:tcBorders>
            <w:gridSpan w:val="6"/>
          </w:tcPr>
          <w:p>
            <w:pPr>
              <w:spacing w:after="0"/>
              <w:rPr>
                <w:sz w:val="17"/>
                <w:szCs w:val="17"/>
                <w:color w:val="auto"/>
              </w:rPr>
            </w:pPr>
          </w:p>
        </w:tc>
        <w:tc>
          <w:tcPr>
            <w:tcW w:w="2360" w:type="dxa"/>
            <w:vAlign w:val="bottom"/>
            <w:gridSpan w:val="19"/>
          </w:tcPr>
          <w:p>
            <w:pPr>
              <w:spacing w:after="0"/>
              <w:rPr>
                <w:sz w:val="17"/>
                <w:szCs w:val="17"/>
                <w:color w:val="auto"/>
              </w:rPr>
            </w:pPr>
          </w:p>
        </w:tc>
      </w:tr>
      <w:tr>
        <w:trPr>
          <w:trHeight w:val="226"/>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Form of 2024 Capped Call Confirmation</w:t>
            </w:r>
          </w:p>
        </w:tc>
        <w:tc>
          <w:tcPr>
            <w:tcW w:w="4000" w:type="dxa"/>
            <w:vAlign w:val="bottom"/>
            <w:gridSpan w:val="25"/>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-4549775</wp:posOffset>
            </wp:positionV>
            <wp:extent cx="7138035" cy="139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-4155440</wp:posOffset>
            </wp:positionV>
            <wp:extent cx="7138035" cy="139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-3876675</wp:posOffset>
            </wp:positionV>
            <wp:extent cx="7138035" cy="139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-3597275</wp:posOffset>
            </wp:positionV>
            <wp:extent cx="7138035" cy="3613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035" cy="3613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-3096260</wp:posOffset>
            </wp:positionV>
            <wp:extent cx="7138035" cy="139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-2701925</wp:posOffset>
            </wp:positionV>
            <wp:extent cx="7138035" cy="2546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035" cy="2546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-2192655</wp:posOffset>
            </wp:positionV>
            <wp:extent cx="7138035" cy="2546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8035" cy="2546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-1683385</wp:posOffset>
            </wp:positionV>
            <wp:extent cx="7138035" cy="2546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035" cy="2546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-1067435</wp:posOffset>
            </wp:positionV>
            <wp:extent cx="7138035" cy="2546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035" cy="2546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-558165</wp:posOffset>
            </wp:positionV>
            <wp:extent cx="7138035" cy="139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-278765</wp:posOffset>
            </wp:positionV>
            <wp:extent cx="7138035" cy="156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8035" cy="156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10-K</w:t>
            </w:r>
          </w:p>
        </w:tc>
        <w:tc>
          <w:tcPr>
            <w:tcW w:w="8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1/27/2020</w:t>
            </w:r>
          </w:p>
        </w:tc>
        <w:tc>
          <w:tcPr>
            <w:tcW w:w="8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4/13/2021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4/13/2021</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3/1/2024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3/1/2024</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1/29/2016</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DEF 14A</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3/29/2023</w:t>
            </w:r>
          </w:p>
        </w:tc>
        <w:tc>
          <w:tcPr>
            <w:tcW w:w="80" w:type="dxa"/>
            <w:vAlign w:val="bottom"/>
          </w:tcPr>
          <w:p>
            <w:pPr>
              <w:spacing w:after="0"/>
              <w:rPr>
                <w:sz w:val="19"/>
                <w:szCs w:val="19"/>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Appendix B</w:t>
            </w:r>
          </w:p>
        </w:tc>
        <w:tc>
          <w:tcPr>
            <w:tcW w:w="0" w:type="dxa"/>
            <w:vAlign w:val="bottom"/>
          </w:tcPr>
          <w:p>
            <w:pPr>
              <w:spacing w:after="0"/>
              <w:rPr>
                <w:sz w:val="1"/>
                <w:szCs w:val="1"/>
                <w:color w:val="auto"/>
              </w:rPr>
            </w:pPr>
          </w:p>
        </w:tc>
      </w:tr>
      <w:tr>
        <w:trPr>
          <w:trHeight w:val="226"/>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DEF 14A</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3/27/2024</w:t>
            </w:r>
          </w:p>
        </w:tc>
        <w:tc>
          <w:tcPr>
            <w:tcW w:w="80" w:type="dxa"/>
            <w:vAlign w:val="bottom"/>
          </w:tcPr>
          <w:p>
            <w:pPr>
              <w:spacing w:after="0"/>
              <w:rPr>
                <w:sz w:val="19"/>
                <w:szCs w:val="19"/>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Appendix A</w:t>
            </w:r>
          </w:p>
        </w:tc>
        <w:tc>
          <w:tcPr>
            <w:tcW w:w="0" w:type="dxa"/>
            <w:vAlign w:val="bottom"/>
          </w:tcPr>
          <w:p>
            <w:pPr>
              <w:spacing w:after="0"/>
              <w:rPr>
                <w:sz w:val="1"/>
                <w:szCs w:val="1"/>
                <w:color w:val="auto"/>
              </w:rPr>
            </w:pPr>
          </w:p>
        </w:tc>
      </w:tr>
      <w:tr>
        <w:trPr>
          <w:trHeight w:val="569"/>
        </w:trPr>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w w:val="97"/>
              </w:rPr>
              <w:t>10-K</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1/29/2013</w:t>
            </w:r>
          </w:p>
        </w:tc>
        <w:tc>
          <w:tcPr>
            <w:tcW w:w="8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10.10</w:t>
            </w:r>
          </w:p>
        </w:tc>
        <w:tc>
          <w:tcPr>
            <w:tcW w:w="80" w:type="dxa"/>
            <w:vAlign w:val="bottom"/>
          </w:tcPr>
          <w:p>
            <w:pPr>
              <w:spacing w:after="0"/>
              <w:rPr>
                <w:sz w:val="24"/>
                <w:szCs w:val="24"/>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14"/>
        </w:trPr>
        <w:tc>
          <w:tcPr>
            <w:tcW w:w="7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1/21/2025</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1/26/2024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1/29/2014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10.12</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1/29/2014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10.13</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1/29/2014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10.14</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1/29/2015</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10.15</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10/14/2016</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401"/>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1/17/2020</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1/26/2024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10.15</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1/27/2020</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1/27/2020</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4/13/2021</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3/1/2024</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00" w:space="80"/>
            <w:col w:w="3560"/>
          </w:cols>
          <w:pgMar w:left="320" w:top="869" w:right="339" w:bottom="1440" w:gutter="0" w:footer="0" w:header="0"/>
          <w:type w:val="continuous"/>
        </w:sect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27"/>
        </w:trPr>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80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7"/>
                <w:szCs w:val="17"/>
                <w:b w:val="1"/>
                <w:bCs w:val="1"/>
                <w:color w:val="auto"/>
              </w:rPr>
              <w:t>Exhibit</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0" w:type="dxa"/>
            <w:vAlign w:val="bottom"/>
            <w:gridSpan w:val="13"/>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60" w:type="dxa"/>
            <w:vAlign w:val="bottom"/>
            <w:gridSpan w:val="2"/>
          </w:tcPr>
          <w:p>
            <w:pPr>
              <w:jc w:val="center"/>
              <w:ind w:right="80"/>
              <w:spacing w:after="0" w:line="161" w:lineRule="exact"/>
              <w:rPr>
                <w:sz w:val="20"/>
                <w:szCs w:val="20"/>
                <w:color w:val="auto"/>
              </w:rPr>
            </w:pPr>
            <w:r>
              <w:rPr>
                <w:rFonts w:ascii="Times New Roman" w:cs="Times New Roman" w:eastAsia="Times New Roman" w:hAnsi="Times New Roman"/>
                <w:sz w:val="17"/>
                <w:szCs w:val="17"/>
                <w:b w:val="1"/>
                <w:bCs w:val="1"/>
                <w:color w:val="auto"/>
                <w:w w:val="98"/>
              </w:rPr>
              <w:t>Filing</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8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Filed</w:t>
            </w:r>
          </w:p>
        </w:tc>
        <w:tc>
          <w:tcPr>
            <w:tcW w:w="0" w:type="dxa"/>
            <w:vAlign w:val="bottom"/>
          </w:tcPr>
          <w:p>
            <w:pPr>
              <w:spacing w:after="0"/>
              <w:rPr>
                <w:sz w:val="1"/>
                <w:szCs w:val="1"/>
                <w:color w:val="auto"/>
              </w:rPr>
            </w:pPr>
          </w:p>
        </w:tc>
      </w:tr>
      <w:tr>
        <w:trPr>
          <w:trHeight w:val="233"/>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0" w:type="dxa"/>
            <w:vAlign w:val="bottom"/>
            <w:gridSpan w:val="13"/>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980" w:type="dxa"/>
            <w:vAlign w:val="bottom"/>
            <w:gridSpan w:val="2"/>
            <w:vMerge w:val="continue"/>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Herewith</w:t>
            </w:r>
          </w:p>
        </w:tc>
        <w:tc>
          <w:tcPr>
            <w:tcW w:w="0" w:type="dxa"/>
            <w:vAlign w:val="bottom"/>
          </w:tcPr>
          <w:p>
            <w:pPr>
              <w:spacing w:after="0"/>
              <w:rPr>
                <w:sz w:val="1"/>
                <w:szCs w:val="1"/>
                <w:color w:val="auto"/>
              </w:rPr>
            </w:pPr>
          </w:p>
        </w:tc>
      </w:tr>
      <w:tr>
        <w:trPr>
          <w:trHeight w:val="174"/>
        </w:trPr>
        <w:tc>
          <w:tcPr>
            <w:tcW w:w="70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6840" w:type="dxa"/>
            <w:vAlign w:val="bottom"/>
            <w:tcBorders>
              <w:top w:val="single" w:sz="8" w:color="auto"/>
            </w:tcBorders>
            <w:gridSpan w:val="15"/>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FF"/>
              </w:rPr>
              <w:t>Fifth Amended and Restated Credit Agreement, dated as of July 21, 2025, by and among Progress</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6120" w:type="dxa"/>
            <w:vAlign w:val="bottom"/>
            <w:tcBorders>
              <w:top w:val="single" w:sz="8" w:color="0000FF"/>
              <w:bottom w:val="single" w:sz="8" w:color="0000FF"/>
            </w:tcBorders>
            <w:gridSpan w:val="7"/>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Software Corporation, each of the lenders party thereto, JPMorgan Chase Bank, N.A., as</w:t>
            </w:r>
          </w:p>
        </w:tc>
        <w:tc>
          <w:tcPr>
            <w:tcW w:w="640" w:type="dxa"/>
            <w:vAlign w:val="bottom"/>
            <w:tcBorders>
              <w:top w:val="single" w:sz="8" w:color="0000FF"/>
              <w:bottom w:val="single" w:sz="8" w:color="CCEEFF"/>
            </w:tcBorders>
            <w:gridSpan w:val="7"/>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920" w:type="dxa"/>
            <w:vAlign w:val="bottom"/>
            <w:gridSpan w:val="16"/>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Administrative Agent, Citibank, N.A. and Wells Fargo Bank, N.A., as Syndication Agents, Bank</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6440" w:type="dxa"/>
            <w:vAlign w:val="bottom"/>
            <w:tcBorders>
              <w:top w:val="single" w:sz="8" w:color="0000FF"/>
              <w:bottom w:val="single" w:sz="8" w:color="0000FF"/>
            </w:tcBorders>
            <w:gridSpan w:val="9"/>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FF"/>
              </w:rPr>
              <w:t>of America, N.A., PNC Bank, National Association, TD Bank, N.A., Citizens Bank N.A. and</w:t>
            </w:r>
          </w:p>
        </w:tc>
        <w:tc>
          <w:tcPr>
            <w:tcW w:w="22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920" w:type="dxa"/>
            <w:vAlign w:val="bottom"/>
            <w:gridSpan w:val="16"/>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First-Citizens Bank &amp; Trust Company, as Documentation Agents, JPMorgan Chase Bank, N.A.,</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6620" w:type="dxa"/>
            <w:vAlign w:val="bottom"/>
            <w:tcBorders>
              <w:top w:val="single" w:sz="8" w:color="0000FF"/>
              <w:bottom w:val="single" w:sz="8" w:color="0000FF"/>
            </w:tcBorders>
            <w:gridSpan w:val="11"/>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w w:val="99"/>
              </w:rPr>
              <w:t>Citibank, N.A. and Wells Fargo Securities, LLC, as Joint Bookrunners and Joint Lead Arrangers,</w:t>
            </w:r>
          </w:p>
        </w:tc>
        <w:tc>
          <w:tcPr>
            <w:tcW w:w="6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4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80" w:type="dxa"/>
            <w:vAlign w:val="bottom"/>
            <w:gridSpan w:val="13"/>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FF"/>
              </w:rPr>
              <w:t>and BofA Securities, Inc., PNC Bank, National Association and TD Bank, N.A., as Joint Lead</w:t>
            </w:r>
          </w:p>
        </w:tc>
        <w:tc>
          <w:tcPr>
            <w:tcW w:w="240" w:type="dxa"/>
            <w:vAlign w:val="bottom"/>
            <w:gridSpan w:val="3"/>
            <w:shd w:val="clear" w:color="auto" w:fill="CCEEFF"/>
          </w:tcPr>
          <w:p>
            <w:pPr>
              <w:spacing w:after="0"/>
              <w:rPr>
                <w:sz w:val="14"/>
                <w:szCs w:val="14"/>
                <w:color w:val="auto"/>
              </w:rPr>
            </w:pPr>
          </w:p>
        </w:tc>
        <w:tc>
          <w:tcPr>
            <w:tcW w:w="8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8-K</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7/22/2025</w:t>
            </w: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6500" w:type="dxa"/>
            <w:vAlign w:val="bottom"/>
            <w:tcBorders>
              <w:top w:val="single" w:sz="8" w:color="0000FF"/>
            </w:tcBorders>
            <w:gridSpan w:val="10"/>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Arrangers</w:t>
            </w:r>
          </w:p>
        </w:tc>
        <w:tc>
          <w:tcPr>
            <w:tcW w:w="420" w:type="dxa"/>
            <w:vAlign w:val="bottom"/>
            <w:tcBorders>
              <w:top w:val="single" w:sz="8" w:color="CCEEFF"/>
            </w:tcBorders>
            <w:gridSpan w:val="6"/>
            <w:shd w:val="clear" w:color="auto" w:fill="CCEEFF"/>
          </w:tcPr>
          <w:p>
            <w:pPr>
              <w:spacing w:after="0"/>
              <w:rPr>
                <w:sz w:val="12"/>
                <w:szCs w:val="12"/>
                <w:color w:val="auto"/>
              </w:rPr>
            </w:pPr>
          </w:p>
        </w:tc>
        <w:tc>
          <w:tcPr>
            <w:tcW w:w="800" w:type="dxa"/>
            <w:vAlign w:val="bottom"/>
            <w:tcBorders>
              <w:top w:val="single" w:sz="8" w:color="CCEEFF"/>
            </w:tcBorders>
            <w:gridSpan w:val="2"/>
            <w:vMerge w:val="continue"/>
            <w:shd w:val="clear" w:color="auto" w:fill="CCEEFF"/>
          </w:tcPr>
          <w:p>
            <w:pPr>
              <w:spacing w:after="0"/>
              <w:rPr>
                <w:sz w:val="12"/>
                <w:szCs w:val="12"/>
                <w:color w:val="auto"/>
              </w:rPr>
            </w:pPr>
          </w:p>
        </w:tc>
        <w:tc>
          <w:tcPr>
            <w:tcW w:w="780" w:type="dxa"/>
            <w:vAlign w:val="bottom"/>
            <w:tcBorders>
              <w:top w:val="single" w:sz="8" w:color="CCEEFF"/>
            </w:tcBorders>
            <w:vMerge w:val="continue"/>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vMerge w:val="continue"/>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15"/>
                <w:szCs w:val="15"/>
                <w:color w:val="auto"/>
              </w:rPr>
            </w:pPr>
          </w:p>
        </w:tc>
        <w:tc>
          <w:tcPr>
            <w:tcW w:w="6920" w:type="dxa"/>
            <w:vAlign w:val="bottom"/>
            <w:gridSpan w:val="16"/>
          </w:tcPr>
          <w:p>
            <w:pPr>
              <w:spacing w:after="0" w:line="181" w:lineRule="exact"/>
              <w:rPr>
                <w:sz w:val="20"/>
                <w:szCs w:val="20"/>
                <w:color w:val="auto"/>
              </w:rPr>
            </w:pPr>
            <w:r>
              <w:rPr>
                <w:rFonts w:ascii="Times New Roman" w:cs="Times New Roman" w:eastAsia="Times New Roman" w:hAnsi="Times New Roman"/>
                <w:sz w:val="17"/>
                <w:szCs w:val="17"/>
                <w:color w:val="0000FF"/>
              </w:rPr>
              <w:t>Insider Trading Policy</w:t>
            </w:r>
          </w:p>
        </w:tc>
        <w:tc>
          <w:tcPr>
            <w:tcW w:w="8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color w:val="auto"/>
              </w:rPr>
              <w:t>10-K</w:t>
            </w:r>
          </w:p>
        </w:tc>
        <w:tc>
          <w:tcPr>
            <w:tcW w:w="78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1/21/2025</w:t>
            </w:r>
          </w:p>
        </w:tc>
        <w:tc>
          <w:tcPr>
            <w:tcW w:w="80" w:type="dxa"/>
            <w:vAlign w:val="bottom"/>
          </w:tcPr>
          <w:p>
            <w:pPr>
              <w:spacing w:after="0"/>
              <w:rPr>
                <w:sz w:val="15"/>
                <w:szCs w:val="15"/>
                <w:color w:val="auto"/>
              </w:rPr>
            </w:pPr>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19.1</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7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21.1</w:t>
            </w:r>
          </w:p>
        </w:tc>
        <w:tc>
          <w:tcPr>
            <w:tcW w:w="100" w:type="dxa"/>
            <w:vAlign w:val="bottom"/>
            <w:tcBorders>
              <w:right w:val="single" w:sz="8" w:color="CCEEFF"/>
            </w:tcBorders>
            <w:shd w:val="clear" w:color="auto" w:fill="CCEEFF"/>
          </w:tcPr>
          <w:p>
            <w:pPr>
              <w:spacing w:after="0"/>
              <w:rPr>
                <w:sz w:val="16"/>
                <w:szCs w:val="16"/>
                <w:color w:val="auto"/>
              </w:rPr>
            </w:pPr>
          </w:p>
        </w:tc>
        <w:tc>
          <w:tcPr>
            <w:tcW w:w="6920" w:type="dxa"/>
            <w:vAlign w:val="bottom"/>
            <w:gridSpan w:val="16"/>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E32E1"/>
              </w:rPr>
              <w:t>List of Subsidiaries of the Registrant</w:t>
            </w: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9"/>
        </w:trPr>
        <w:tc>
          <w:tcPr>
            <w:tcW w:w="70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80" w:type="dxa"/>
            <w:vAlign w:val="bottom"/>
            <w:shd w:val="clear" w:color="auto" w:fill="0E32E1"/>
          </w:tcPr>
          <w:p>
            <w:pPr>
              <w:spacing w:after="0"/>
              <w:rPr>
                <w:sz w:val="3"/>
                <w:szCs w:val="3"/>
                <w:color w:val="auto"/>
              </w:rPr>
            </w:pPr>
          </w:p>
        </w:tc>
        <w:tc>
          <w:tcPr>
            <w:tcW w:w="860" w:type="dxa"/>
            <w:vAlign w:val="bottom"/>
            <w:shd w:val="clear" w:color="auto" w:fill="0E32E1"/>
          </w:tcPr>
          <w:p>
            <w:pPr>
              <w:spacing w:after="0"/>
              <w:rPr>
                <w:sz w:val="3"/>
                <w:szCs w:val="3"/>
                <w:color w:val="auto"/>
              </w:rPr>
            </w:pPr>
          </w:p>
        </w:tc>
        <w:tc>
          <w:tcPr>
            <w:tcW w:w="980" w:type="dxa"/>
            <w:vAlign w:val="bottom"/>
            <w:shd w:val="clear" w:color="auto" w:fill="0E32E1"/>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6"/>
                <w:szCs w:val="16"/>
                <w:color w:val="auto"/>
              </w:rPr>
            </w:pPr>
          </w:p>
        </w:tc>
        <w:tc>
          <w:tcPr>
            <w:tcW w:w="5840" w:type="dxa"/>
            <w:vAlign w:val="bottom"/>
            <w:tcBorders>
              <w:bottom w:val="single" w:sz="8" w:color="0000FF"/>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FF"/>
              </w:rPr>
              <w:t>Consent of Deloitte &amp; Touche LLP, Independent Registered Public Accounting Firm</w:t>
            </w:r>
          </w:p>
        </w:tc>
        <w:tc>
          <w:tcPr>
            <w:tcW w:w="1080" w:type="dxa"/>
            <w:vAlign w:val="bottom"/>
            <w:gridSpan w:val="10"/>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91"/>
        </w:trPr>
        <w:tc>
          <w:tcPr>
            <w:tcW w:w="7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31.1</w:t>
            </w:r>
          </w:p>
        </w:tc>
        <w:tc>
          <w:tcPr>
            <w:tcW w:w="100" w:type="dxa"/>
            <w:vAlign w:val="bottom"/>
            <w:tcBorders>
              <w:right w:val="single" w:sz="8" w:color="CCEEFF"/>
            </w:tcBorders>
            <w:shd w:val="clear" w:color="auto" w:fill="CCEEFF"/>
          </w:tcPr>
          <w:p>
            <w:pPr>
              <w:spacing w:after="0"/>
              <w:rPr>
                <w:sz w:val="16"/>
                <w:szCs w:val="16"/>
                <w:color w:val="auto"/>
              </w:rPr>
            </w:pPr>
          </w:p>
        </w:tc>
        <w:tc>
          <w:tcPr>
            <w:tcW w:w="6920" w:type="dxa"/>
            <w:vAlign w:val="bottom"/>
            <w:gridSpan w:val="16"/>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Certification Pursuant to Section 302 of the Sarbanes-Oxley Act of 2002 - Yogesh Gupta</w:t>
            </w: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9"/>
        </w:trPr>
        <w:tc>
          <w:tcPr>
            <w:tcW w:w="70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166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16"/>
                <w:szCs w:val="16"/>
                <w:color w:val="auto"/>
              </w:rPr>
            </w:pPr>
          </w:p>
        </w:tc>
        <w:tc>
          <w:tcPr>
            <w:tcW w:w="6920" w:type="dxa"/>
            <w:vAlign w:val="bottom"/>
            <w:gridSpan w:val="16"/>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Section 302 of the Sarbanes-Oxley Act of 2002 - Anthony Folger</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9"/>
        </w:trPr>
        <w:tc>
          <w:tcPr>
            <w:tcW w:w="800" w:type="dxa"/>
            <w:vAlign w:val="bottom"/>
            <w:tcBorders>
              <w:right w:val="single" w:sz="8" w:color="CCEEFF"/>
            </w:tcBorders>
            <w:gridSpan w:val="2"/>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auto"/>
                <w:w w:val="99"/>
              </w:rPr>
              <w:t>32.1†</w:t>
            </w:r>
          </w:p>
        </w:tc>
        <w:tc>
          <w:tcPr>
            <w:tcW w:w="6240" w:type="dxa"/>
            <w:vAlign w:val="bottom"/>
            <w:tcBorders>
              <w:top w:val="single" w:sz="8" w:color="0000FF"/>
            </w:tcBorders>
            <w:gridSpan w:val="8"/>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Certification Pursuant to Section 906 of the Sarbanes-Oxley Act of 2002</w:t>
            </w:r>
          </w:p>
        </w:tc>
        <w:tc>
          <w:tcPr>
            <w:tcW w:w="680" w:type="dxa"/>
            <w:vAlign w:val="bottom"/>
            <w:gridSpan w:val="8"/>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00" w:type="dxa"/>
            <w:vAlign w:val="bottom"/>
            <w:tcBorders>
              <w:top w:val="single" w:sz="8" w:color="CCEEFF"/>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rPr>
              <w:t>97</w:t>
            </w:r>
          </w:p>
        </w:tc>
        <w:tc>
          <w:tcPr>
            <w:tcW w:w="100" w:type="dxa"/>
            <w:vAlign w:val="bottom"/>
            <w:tcBorders>
              <w:top w:val="single" w:sz="8" w:color="CCEEFF"/>
            </w:tcBorders>
          </w:tcPr>
          <w:p>
            <w:pPr>
              <w:spacing w:after="0"/>
              <w:rPr>
                <w:sz w:val="15"/>
                <w:szCs w:val="15"/>
                <w:color w:val="auto"/>
              </w:rPr>
            </w:pPr>
          </w:p>
        </w:tc>
        <w:tc>
          <w:tcPr>
            <w:tcW w:w="5000" w:type="dxa"/>
            <w:vAlign w:val="bottom"/>
            <w:tcBorders>
              <w:top w:val="single" w:sz="8" w:color="0000FF"/>
            </w:tcBorders>
            <w:gridSpan w:val="5"/>
          </w:tcPr>
          <w:p>
            <w:pPr>
              <w:spacing w:after="0" w:line="181" w:lineRule="exact"/>
              <w:rPr>
                <w:sz w:val="20"/>
                <w:szCs w:val="20"/>
                <w:color w:val="auto"/>
              </w:rPr>
            </w:pPr>
            <w:r>
              <w:rPr>
                <w:rFonts w:ascii="Times New Roman" w:cs="Times New Roman" w:eastAsia="Times New Roman" w:hAnsi="Times New Roman"/>
                <w:sz w:val="17"/>
                <w:szCs w:val="17"/>
                <w:color w:val="0000FF"/>
              </w:rPr>
              <w:t>Progress Software Corporation Clawback Policy</w:t>
            </w:r>
          </w:p>
        </w:tc>
        <w:tc>
          <w:tcPr>
            <w:tcW w:w="1920" w:type="dxa"/>
            <w:vAlign w:val="bottom"/>
            <w:tcBorders>
              <w:top w:val="single" w:sz="8" w:color="CCEEFF"/>
            </w:tcBorders>
            <w:gridSpan w:val="11"/>
          </w:tcPr>
          <w:p>
            <w:pPr>
              <w:spacing w:after="0"/>
              <w:rPr>
                <w:sz w:val="15"/>
                <w:szCs w:val="15"/>
                <w:color w:val="auto"/>
              </w:rPr>
            </w:pPr>
          </w:p>
        </w:tc>
        <w:tc>
          <w:tcPr>
            <w:tcW w:w="800" w:type="dxa"/>
            <w:vAlign w:val="bottom"/>
            <w:tcBorders>
              <w:top w:val="single" w:sz="8" w:color="CCEEFF"/>
            </w:tcBorders>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color w:val="auto"/>
              </w:rPr>
              <w:t>10-K</w:t>
            </w:r>
          </w:p>
        </w:tc>
        <w:tc>
          <w:tcPr>
            <w:tcW w:w="780" w:type="dxa"/>
            <w:vAlign w:val="bottom"/>
            <w:tcBorders>
              <w:top w:val="single" w:sz="8" w:color="CCEEFF"/>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rPr>
              <w:t>1/26/2024</w:t>
            </w:r>
          </w:p>
        </w:tc>
        <w:tc>
          <w:tcPr>
            <w:tcW w:w="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rPr>
              <w:t>97</w:t>
            </w: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358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0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6"/>
                <w:szCs w:val="16"/>
                <w:color w:val="auto"/>
              </w:rPr>
            </w:pPr>
          </w:p>
        </w:tc>
        <w:tc>
          <w:tcPr>
            <w:tcW w:w="6920" w:type="dxa"/>
            <w:vAlign w:val="bottom"/>
            <w:gridSpan w:val="16"/>
          </w:tcPr>
          <w:p>
            <w:pPr>
              <w:spacing w:after="0" w:line="187" w:lineRule="exact"/>
              <w:rPr>
                <w:sz w:val="20"/>
                <w:szCs w:val="20"/>
                <w:color w:val="auto"/>
              </w:rPr>
            </w:pPr>
            <w:r>
              <w:rPr>
                <w:rFonts w:ascii="Times New Roman" w:cs="Times New Roman" w:eastAsia="Times New Roman" w:hAnsi="Times New Roman"/>
                <w:sz w:val="17"/>
                <w:szCs w:val="17"/>
                <w:color w:val="auto"/>
              </w:rPr>
              <w:t>The following materials from Progress Software Corporation's Annual Report on Form 10-K for</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920" w:type="dxa"/>
            <w:vAlign w:val="bottom"/>
            <w:gridSpan w:val="16"/>
          </w:tcPr>
          <w:p>
            <w:pPr>
              <w:spacing w:after="0" w:line="168" w:lineRule="exact"/>
              <w:rPr>
                <w:sz w:val="20"/>
                <w:szCs w:val="20"/>
                <w:color w:val="auto"/>
              </w:rPr>
            </w:pPr>
            <w:r>
              <w:rPr>
                <w:rFonts w:ascii="Times New Roman" w:cs="Times New Roman" w:eastAsia="Times New Roman" w:hAnsi="Times New Roman"/>
                <w:sz w:val="17"/>
                <w:szCs w:val="17"/>
                <w:color w:val="auto"/>
              </w:rPr>
              <w:t>the year ended November 30, 2025, formatted in iXBRL (Inline eXtensible Business Reporting</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2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Language): (i) Consolidated Balance Sheets as of November 30, 2025 and 2024, (ii) Consolidated</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7138035" cy="9118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035" cy="911860"/>
                    </a:xfrm>
                    <a:prstGeom prst="rect">
                      <a:avLst/>
                    </a:prstGeom>
                    <a:noFill/>
                  </pic:spPr>
                </pic:pic>
              </a:graphicData>
            </a:graphic>
          </wp:anchor>
        </w:drawing>
      </w:r>
    </w:p>
    <w:p>
      <w:pPr>
        <w:ind w:left="800" w:right="3620"/>
        <w:spacing w:after="0" w:line="211" w:lineRule="auto"/>
        <w:rPr>
          <w:sz w:val="20"/>
          <w:szCs w:val="20"/>
          <w:color w:val="auto"/>
        </w:rPr>
      </w:pPr>
      <w:r>
        <w:rPr>
          <w:rFonts w:ascii="Times New Roman" w:cs="Times New Roman" w:eastAsia="Times New Roman" w:hAnsi="Times New Roman"/>
          <w:sz w:val="17"/>
          <w:szCs w:val="17"/>
          <w:color w:val="auto"/>
        </w:rPr>
        <w:t>Statements of Operations for the years ended November 30, 2025, 2024, and 2023, (iii) Consolidated Statements of Comprehensive Income for the years ended November 30, 2025, 2024, and 2023, (iv) Consolidated Statements of Stockholders' Equity for the years ended November 30,</w:t>
      </w:r>
    </w:p>
    <w:p>
      <w:pPr>
        <w:spacing w:after="0" w:line="2" w:lineRule="exact"/>
        <w:rPr>
          <w:sz w:val="20"/>
          <w:szCs w:val="20"/>
          <w:color w:val="auto"/>
        </w:rPr>
      </w:pPr>
    </w:p>
    <w:p>
      <w:pPr>
        <w:ind w:left="800" w:right="4220"/>
        <w:spacing w:after="0" w:line="229" w:lineRule="auto"/>
        <w:rPr>
          <w:sz w:val="20"/>
          <w:szCs w:val="20"/>
          <w:color w:val="auto"/>
        </w:rPr>
      </w:pPr>
      <w:r>
        <w:rPr>
          <w:rFonts w:ascii="Times New Roman" w:cs="Times New Roman" w:eastAsia="Times New Roman" w:hAnsi="Times New Roman"/>
          <w:sz w:val="17"/>
          <w:szCs w:val="17"/>
          <w:color w:val="auto"/>
        </w:rPr>
        <w:t>2025, 2024, and 2023, and (v) Consolidated Statements of Cash Flows for the years ended November 30, 2025, 2024, and 2023.</w:t>
      </w:r>
    </w:p>
    <w:p>
      <w:pPr>
        <w:spacing w:after="0" w:line="8" w:lineRule="exact"/>
        <w:rPr>
          <w:sz w:val="20"/>
          <w:szCs w:val="20"/>
          <w:color w:val="auto"/>
        </w:rPr>
      </w:pPr>
    </w:p>
    <w:p>
      <w:pPr>
        <w:ind w:left="800" w:hanging="577"/>
        <w:spacing w:after="0"/>
        <w:tabs>
          <w:tab w:leader="none" w:pos="80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358" w:lineRule="exact"/>
        <w:rPr>
          <w:rFonts w:ascii="Times New Roman" w:cs="Times New Roman" w:eastAsia="Times New Roman" w:hAnsi="Times New Roman"/>
          <w:sz w:val="17"/>
          <w:szCs w:val="17"/>
          <w:color w:val="auto"/>
        </w:rPr>
      </w:pPr>
    </w:p>
    <w:p>
      <w:pPr>
        <w:ind w:left="440" w:right="220" w:hanging="414"/>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*Certain schedules and exhibits have been omitted from this Exhibit pursuant to Item 601(a)(5) of Regulation S-K. Progress Software Corporation will furnish a copy of any omitted schedule or exhibit to the U.S. Securities and Exchange Commission or its staff upon request.</w:t>
      </w:r>
    </w:p>
    <w:p>
      <w:pPr>
        <w:spacing w:after="0" w:line="2" w:lineRule="exact"/>
        <w:rPr>
          <w:rFonts w:ascii="Times New Roman" w:cs="Times New Roman" w:eastAsia="Times New Roman" w:hAnsi="Times New Roman"/>
          <w:sz w:val="17"/>
          <w:szCs w:val="17"/>
          <w:color w:val="auto"/>
        </w:rPr>
      </w:pPr>
    </w:p>
    <w:p>
      <w:pPr>
        <w:ind w:left="440" w:hanging="419"/>
        <w:spacing w:after="0"/>
        <w:tabs>
          <w:tab w:leader="none" w:pos="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 in which an executive officer or director of Progress Software Corporation participates.</w:t>
      </w:r>
    </w:p>
    <w:p>
      <w:pPr>
        <w:spacing w:after="0" w:line="33" w:lineRule="exact"/>
        <w:rPr>
          <w:rFonts w:ascii="Times New Roman" w:cs="Times New Roman" w:eastAsia="Times New Roman" w:hAnsi="Times New Roman"/>
          <w:sz w:val="14"/>
          <w:szCs w:val="14"/>
          <w:color w:val="auto"/>
        </w:rPr>
      </w:pPr>
    </w:p>
    <w:p>
      <w:pPr>
        <w:ind w:left="440" w:right="60" w:hanging="419"/>
        <w:spacing w:after="0" w:line="230" w:lineRule="auto"/>
        <w:tabs>
          <w:tab w:leader="none" w:pos="4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406T of Regulations S-T, the Interactive Data Files on Exhibit 101 hereto are deemed not filed or part of a registration statement or prospectus of Sections 11 or 12 of the Securities Act of 1933, as amended, are deemed not filed for purposes of Section 18 of the Securities and Exchange Act of 1934, as amended, and otherwise are not subject to liability under those sections.</w:t>
      </w:r>
    </w:p>
    <w:p>
      <w:pPr>
        <w:spacing w:after="0" w:line="3" w:lineRule="exact"/>
        <w:rPr>
          <w:sz w:val="20"/>
          <w:szCs w:val="20"/>
          <w:color w:val="auto"/>
        </w:rPr>
      </w:pPr>
    </w:p>
    <w:p>
      <w:pPr>
        <w:ind w:left="440" w:hanging="419"/>
        <w:spacing w:after="0"/>
        <w:tabs>
          <w:tab w:leader="none" w:pos="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Financial Statement Schedules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schedules are omitted because they are not applicable or the required information is shown on the financial statements or notes hereto.</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8" w:name="page79"/>
    <w:bookmarkEnd w:id="78"/>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the 20st day of January 2026.</w:t>
      </w:r>
    </w:p>
    <w:p>
      <w:pPr>
        <w:spacing w:after="0" w:line="25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PROGRESS SOFTWARE CORPORATION</w:t>
      </w:r>
    </w:p>
    <w:p>
      <w:pPr>
        <w:spacing w:after="0" w:line="270" w:lineRule="exact"/>
        <w:rPr>
          <w:sz w:val="20"/>
          <w:szCs w:val="20"/>
          <w:color w:val="auto"/>
        </w:rPr>
      </w:pPr>
    </w:p>
    <w:p>
      <w:pPr>
        <w:ind w:left="7100"/>
        <w:spacing w:after="0"/>
        <w:tabs>
          <w:tab w:leader="none" w:pos="76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YOGESH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4872990</wp:posOffset>
            </wp:positionH>
            <wp:positionV relativeFrom="paragraph">
              <wp:posOffset>19050</wp:posOffset>
            </wp:positionV>
            <wp:extent cx="22669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66950" cy="8255"/>
                    </a:xfrm>
                    <a:prstGeom prst="rect">
                      <a:avLst/>
                    </a:prstGeom>
                    <a:noFill/>
                  </pic:spPr>
                </pic:pic>
              </a:graphicData>
            </a:graphic>
          </wp:anchor>
        </w:drawing>
      </w:r>
    </w:p>
    <w:p>
      <w:pPr>
        <w:spacing w:after="0" w:line="1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7"/>
          <w:szCs w:val="17"/>
          <w:color w:val="auto"/>
        </w:rPr>
        <w:t>Yogesh K. Gupta</w:t>
      </w:r>
    </w:p>
    <w:p>
      <w:pPr>
        <w:spacing w:after="0" w:line="3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32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7"/>
                <w:szCs w:val="17"/>
                <w:color w:val="auto"/>
              </w:rPr>
              <w:t>Signature</w:t>
            </w:r>
          </w:p>
        </w:tc>
        <w:tc>
          <w:tcPr>
            <w:tcW w:w="320" w:type="dxa"/>
            <w:vAlign w:val="bottom"/>
          </w:tcPr>
          <w:p>
            <w:pPr>
              <w:spacing w:after="0"/>
              <w:rPr>
                <w:sz w:val="19"/>
                <w:szCs w:val="19"/>
                <w:color w:val="auto"/>
              </w:rPr>
            </w:pPr>
          </w:p>
        </w:tc>
        <w:tc>
          <w:tcPr>
            <w:tcW w:w="492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7"/>
                <w:szCs w:val="17"/>
                <w:color w:val="auto"/>
              </w:rPr>
              <w:t>Title</w:t>
            </w:r>
          </w:p>
        </w:tc>
        <w:tc>
          <w:tcPr>
            <w:tcW w:w="320" w:type="dxa"/>
            <w:vAlign w:val="bottom"/>
          </w:tcPr>
          <w:p>
            <w:pPr>
              <w:spacing w:after="0"/>
              <w:rPr>
                <w:sz w:val="19"/>
                <w:szCs w:val="19"/>
                <w:color w:val="auto"/>
              </w:rPr>
            </w:pPr>
          </w:p>
        </w:tc>
        <w:tc>
          <w:tcPr>
            <w:tcW w:w="16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Date</w:t>
            </w:r>
          </w:p>
        </w:tc>
      </w:tr>
      <w:tr>
        <w:trPr>
          <w:trHeight w:val="472"/>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YOGESH K. GUPTA</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20, 2026</w:t>
            </w:r>
          </w:p>
        </w:tc>
      </w:tr>
      <w:tr>
        <w:trPr>
          <w:trHeight w:val="226"/>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Yogesh K. Gupta</w:t>
            </w:r>
          </w:p>
        </w:tc>
        <w:tc>
          <w:tcPr>
            <w:tcW w:w="320" w:type="dxa"/>
            <w:vAlign w:val="bottom"/>
          </w:tcPr>
          <w:p>
            <w:pPr>
              <w:spacing w:after="0"/>
              <w:rPr>
                <w:sz w:val="19"/>
                <w:szCs w:val="19"/>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640" w:type="dxa"/>
            <w:vAlign w:val="bottom"/>
          </w:tcPr>
          <w:p>
            <w:pPr>
              <w:spacing w:after="0"/>
              <w:rPr>
                <w:sz w:val="19"/>
                <w:szCs w:val="19"/>
                <w:color w:val="auto"/>
              </w:rPr>
            </w:pPr>
          </w:p>
        </w:tc>
      </w:tr>
      <w:tr>
        <w:trPr>
          <w:trHeight w:val="466"/>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ANTHONY FOLGER</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20, 2026</w:t>
            </w:r>
          </w:p>
        </w:tc>
      </w:tr>
      <w:tr>
        <w:trPr>
          <w:trHeight w:val="26"/>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Anthony Folger</w:t>
            </w:r>
          </w:p>
        </w:tc>
        <w:tc>
          <w:tcPr>
            <w:tcW w:w="320" w:type="dxa"/>
            <w:vAlign w:val="bottom"/>
          </w:tcPr>
          <w:p>
            <w:pPr>
              <w:spacing w:after="0"/>
              <w:rPr>
                <w:sz w:val="20"/>
                <w:szCs w:val="20"/>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1640" w:type="dxa"/>
            <w:vAlign w:val="bottom"/>
          </w:tcPr>
          <w:p>
            <w:pPr>
              <w:spacing w:after="0"/>
              <w:rPr>
                <w:sz w:val="20"/>
                <w:szCs w:val="20"/>
                <w:color w:val="auto"/>
              </w:rPr>
            </w:pPr>
          </w:p>
        </w:tc>
      </w:tr>
      <w:tr>
        <w:trPr>
          <w:trHeight w:val="466"/>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DOMENIC LOCOCO</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Accounting Officer</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20, 2026</w:t>
            </w:r>
          </w:p>
        </w:tc>
      </w:tr>
      <w:tr>
        <w:trPr>
          <w:trHeight w:val="26"/>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6"/>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Domenic LoCoco</w:t>
            </w:r>
          </w:p>
        </w:tc>
        <w:tc>
          <w:tcPr>
            <w:tcW w:w="320" w:type="dxa"/>
            <w:vAlign w:val="bottom"/>
          </w:tcPr>
          <w:p>
            <w:pPr>
              <w:spacing w:after="0"/>
              <w:rPr>
                <w:sz w:val="19"/>
                <w:szCs w:val="19"/>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1640" w:type="dxa"/>
            <w:vAlign w:val="bottom"/>
          </w:tcPr>
          <w:p>
            <w:pPr>
              <w:spacing w:after="0"/>
              <w:rPr>
                <w:sz w:val="19"/>
                <w:szCs w:val="19"/>
                <w:color w:val="auto"/>
              </w:rPr>
            </w:pPr>
          </w:p>
        </w:tc>
      </w:tr>
      <w:tr>
        <w:trPr>
          <w:trHeight w:val="466"/>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JOHN R. EGAN</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Non-Executive Chairman</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20, 2026</w:t>
            </w:r>
          </w:p>
        </w:tc>
      </w:tr>
      <w:tr>
        <w:trPr>
          <w:trHeight w:val="26"/>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R. Egan</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3"/>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PAUL T. DACIER</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20, 2026</w:t>
            </w:r>
          </w:p>
        </w:tc>
      </w:tr>
      <w:tr>
        <w:trPr>
          <w:trHeight w:val="26"/>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Paul T. Dacier</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3"/>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RAINER GAWLICK</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20, 2026</w:t>
            </w:r>
          </w:p>
        </w:tc>
      </w:tr>
      <w:tr>
        <w:trPr>
          <w:trHeight w:val="26"/>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Rainer Gawlick</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3"/>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CHARLES F. KANE</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20, 2026</w:t>
            </w:r>
          </w:p>
        </w:tc>
      </w:tr>
      <w:tr>
        <w:trPr>
          <w:trHeight w:val="26"/>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Charles F. Kane</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3"/>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SAMSKRITI KING</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20, 2026</w:t>
            </w:r>
          </w:p>
        </w:tc>
      </w:tr>
      <w:tr>
        <w:trPr>
          <w:trHeight w:val="26"/>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Samskriti King</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3"/>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DAVID A. KRALL</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20, 2026</w:t>
            </w:r>
          </w:p>
        </w:tc>
      </w:tr>
      <w:tr>
        <w:trPr>
          <w:trHeight w:val="26"/>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David A. Krall</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3"/>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ANGELA TUCCI</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20, 2026</w:t>
            </w:r>
          </w:p>
        </w:tc>
      </w:tr>
      <w:tr>
        <w:trPr>
          <w:trHeight w:val="26"/>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Angela Tucci</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3"/>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VIVIAN VITALE</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20, 2026</w:t>
            </w:r>
          </w:p>
        </w:tc>
      </w:tr>
      <w:tr>
        <w:trPr>
          <w:trHeight w:val="26"/>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Vivian Vitale</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939"/>
        </w:trPr>
        <w:tc>
          <w:tcPr>
            <w:tcW w:w="3460" w:type="dxa"/>
            <w:vAlign w:val="bottom"/>
          </w:tcPr>
          <w:p>
            <w:pPr>
              <w:spacing w:after="0"/>
              <w:rPr>
                <w:sz w:val="24"/>
                <w:szCs w:val="24"/>
                <w:color w:val="auto"/>
              </w:rPr>
            </w:pPr>
          </w:p>
        </w:tc>
        <w:tc>
          <w:tcPr>
            <w:tcW w:w="5240" w:type="dxa"/>
            <w:vAlign w:val="bottom"/>
            <w:gridSpan w:val="2"/>
          </w:tcPr>
          <w:p>
            <w:pPr>
              <w:jc w:val="right"/>
              <w:ind w:right="2894"/>
              <w:spacing w:after="0"/>
              <w:rPr>
                <w:sz w:val="20"/>
                <w:szCs w:val="20"/>
                <w:color w:val="auto"/>
              </w:rPr>
            </w:pPr>
            <w:r>
              <w:rPr>
                <w:rFonts w:ascii="Times New Roman" w:cs="Times New Roman" w:eastAsia="Times New Roman" w:hAnsi="Times New Roman"/>
                <w:sz w:val="17"/>
                <w:szCs w:val="17"/>
                <w:color w:val="auto"/>
              </w:rPr>
              <w:t>79</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160"/>
          </w:cols>
          <w:pgMar w:left="320" w:top="740" w:right="4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 OF GRANT OF STOCK OPTIONS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AND GRANT AGREEMENT</w:t>
      </w:r>
    </w:p>
    <w:p>
      <w:pPr>
        <w:spacing w:after="0" w:line="21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1"/>
          <w:szCs w:val="21"/>
          <w:color w:val="auto"/>
        </w:rPr>
        <w:t>Progress Software Corporation</w:t>
      </w:r>
    </w:p>
    <w:p>
      <w:pPr>
        <w:spacing w:after="0" w:line="1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1"/>
          <w:szCs w:val="21"/>
          <w:color w:val="auto"/>
        </w:rPr>
        <w:t>ID: 04-2746201</w:t>
      </w:r>
    </w:p>
    <w:p>
      <w:pPr>
        <w:ind w:left="1560"/>
        <w:spacing w:after="0" w:line="235" w:lineRule="auto"/>
        <w:rPr>
          <w:sz w:val="20"/>
          <w:szCs w:val="20"/>
          <w:color w:val="auto"/>
        </w:rPr>
      </w:pPr>
      <w:r>
        <w:rPr>
          <w:rFonts w:ascii="Times New Roman" w:cs="Times New Roman" w:eastAsia="Times New Roman" w:hAnsi="Times New Roman"/>
          <w:sz w:val="21"/>
          <w:szCs w:val="21"/>
          <w:color w:val="auto"/>
        </w:rPr>
        <w:t>15 Wayside Road, Suite 400</w:t>
      </w:r>
    </w:p>
    <w:p>
      <w:pPr>
        <w:spacing w:after="0" w:line="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1"/>
          <w:szCs w:val="21"/>
          <w:color w:val="auto"/>
        </w:rPr>
        <w:t>Burlington, Massachusetts 01803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[Grantee Name]</w:t>
      </w:r>
    </w:p>
    <w:p>
      <w:pPr>
        <w:spacing w:after="0" w:line="2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1"/>
          <w:szCs w:val="21"/>
          <w:b w:val="1"/>
          <w:bCs w:val="1"/>
          <w:color w:val="auto"/>
        </w:rPr>
        <w:t>ISSUED PURSUANT TO THE 2008 STOCK OPTION AND INCENTIVE PLAN</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1"/>
          <w:szCs w:val="21"/>
          <w:color w:val="auto"/>
        </w:rPr>
        <w:t>Grant Type:</w:t>
      </w:r>
    </w:p>
    <w:p>
      <w:pPr>
        <w:spacing w:after="0" w:line="2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1"/>
          <w:szCs w:val="21"/>
          <w:color w:val="auto"/>
        </w:rPr>
        <w:t>Option Number:</w:t>
      </w:r>
    </w:p>
    <w:p>
      <w:pPr>
        <w:ind w:left="1560"/>
        <w:spacing w:after="0" w:line="231" w:lineRule="auto"/>
        <w:rPr>
          <w:sz w:val="20"/>
          <w:szCs w:val="20"/>
          <w:color w:val="auto"/>
        </w:rPr>
      </w:pPr>
      <w:r>
        <w:rPr>
          <w:rFonts w:ascii="Times New Roman" w:cs="Times New Roman" w:eastAsia="Times New Roman" w:hAnsi="Times New Roman"/>
          <w:sz w:val="21"/>
          <w:szCs w:val="21"/>
          <w:color w:val="auto"/>
        </w:rPr>
        <w:t>Date of Option Grant:</w:t>
      </w:r>
    </w:p>
    <w:p>
      <w:pPr>
        <w:ind w:left="1560"/>
        <w:spacing w:after="0"/>
        <w:rPr>
          <w:sz w:val="20"/>
          <w:szCs w:val="20"/>
          <w:color w:val="auto"/>
        </w:rPr>
      </w:pPr>
      <w:r>
        <w:rPr>
          <w:rFonts w:ascii="Times New Roman" w:cs="Times New Roman" w:eastAsia="Times New Roman" w:hAnsi="Times New Roman"/>
          <w:sz w:val="21"/>
          <w:szCs w:val="21"/>
          <w:color w:val="auto"/>
        </w:rPr>
        <w:t>Plan:</w:t>
      </w:r>
    </w:p>
    <w:p>
      <w:pPr>
        <w:ind w:left="1560"/>
        <w:spacing w:after="0" w:line="235" w:lineRule="auto"/>
        <w:rPr>
          <w:sz w:val="20"/>
          <w:szCs w:val="20"/>
          <w:color w:val="auto"/>
        </w:rPr>
      </w:pPr>
      <w:r>
        <w:rPr>
          <w:rFonts w:ascii="Times New Roman" w:cs="Times New Roman" w:eastAsia="Times New Roman" w:hAnsi="Times New Roman"/>
          <w:sz w:val="21"/>
          <w:szCs w:val="21"/>
          <w:color w:val="auto"/>
        </w:rPr>
        <w:t>Price of the Shares Granted:</w:t>
      </w:r>
    </w:p>
    <w:p>
      <w:pPr>
        <w:ind w:left="1560"/>
        <w:spacing w:after="0" w:line="232" w:lineRule="auto"/>
        <w:rPr>
          <w:sz w:val="20"/>
          <w:szCs w:val="20"/>
          <w:color w:val="auto"/>
        </w:rPr>
      </w:pPr>
      <w:r>
        <w:rPr>
          <w:rFonts w:ascii="Times New Roman" w:cs="Times New Roman" w:eastAsia="Times New Roman" w:hAnsi="Times New Roman"/>
          <w:sz w:val="21"/>
          <w:szCs w:val="21"/>
          <w:color w:val="auto"/>
        </w:rPr>
        <w:t>Total Number of Shares Granted:</w:t>
      </w:r>
    </w:p>
    <w:p>
      <w:pPr>
        <w:ind w:left="1560"/>
        <w:spacing w:after="0"/>
        <w:rPr>
          <w:sz w:val="20"/>
          <w:szCs w:val="20"/>
          <w:color w:val="auto"/>
        </w:rPr>
      </w:pPr>
      <w:r>
        <w:rPr>
          <w:rFonts w:ascii="Times New Roman" w:cs="Times New Roman" w:eastAsia="Times New Roman" w:hAnsi="Times New Roman"/>
          <w:sz w:val="21"/>
          <w:szCs w:val="21"/>
          <w:color w:val="auto"/>
        </w:rPr>
        <w:t>Option Price per Share:</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You have the right to purchase the number of shares of Common Stock of Progress Software Corporation for the Price per Share on or before the Expiration Date, all as set forth above. The option is subject to the full terms and conditions attached hereto. This option shall become exercisable in accordance with the Vesting Schedule below.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VESTING SCHEDULE</w:t>
      </w:r>
    </w:p>
    <w:p>
      <w:pPr>
        <w:sectPr>
          <w:pgSz w:w="11900" w:h="16838" w:orient="portrait"/>
          <w:cols w:equalWidth="0" w:num="1">
            <w:col w:w="11240"/>
          </w:cols>
          <w:pgMar w:left="320" w:top="1361"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1"/>
          <w:szCs w:val="21"/>
          <w:b w:val="1"/>
          <w:bCs w:val="1"/>
          <w:color w:val="auto"/>
        </w:rPr>
        <w:t>NON-QUALIFIED STOCK OPTION AGREEMENT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UNDER THE PROGRESS SOFTWARE CORPORATION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2008 STOCK OPTION AND INCENTIVE PLAN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Optionee: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of Option Shares: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Option Exercise Price per Share: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Expiration Date:</w:t>
      </w:r>
    </w:p>
    <w:p>
      <w:pPr>
        <w:spacing w:after="0" w:line="224" w:lineRule="exact"/>
        <w:rPr>
          <w:sz w:val="20"/>
          <w:szCs w:val="20"/>
          <w:color w:val="auto"/>
        </w:rPr>
      </w:pPr>
    </w:p>
    <w:p>
      <w:pPr>
        <w:jc w:val="both"/>
        <w:ind w:firstLine="621"/>
        <w:spacing w:after="0" w:line="242" w:lineRule="auto"/>
        <w:rPr>
          <w:sz w:val="20"/>
          <w:szCs w:val="20"/>
          <w:color w:val="auto"/>
        </w:rPr>
      </w:pPr>
      <w:r>
        <w:rPr>
          <w:rFonts w:ascii="Times New Roman" w:cs="Times New Roman" w:eastAsia="Times New Roman" w:hAnsi="Times New Roman"/>
          <w:sz w:val="21"/>
          <w:szCs w:val="21"/>
          <w:color w:val="auto"/>
        </w:rPr>
        <w:t>Pursuant to the Progress Software Corporation 2008 Stock Option and Incentive Plan, as amended and restated through the date hereof (the “Plan”), Progress Software Corporation (the “Company”) hereby grants to the Optionee named above, who is an employee of the Company, an option (the “Stock Option”) to purchase on or prior to the Expiration Date specified above all or part of the number of shares of Common Stock, par value $.01 per share, of the Company (the “Stock”)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95" w:lineRule="exact"/>
        <w:rPr>
          <w:sz w:val="20"/>
          <w:szCs w:val="20"/>
          <w:color w:val="auto"/>
        </w:rPr>
      </w:pPr>
    </w:p>
    <w:p>
      <w:pPr>
        <w:ind w:left="620" w:right="500" w:hanging="306"/>
        <w:spacing w:after="0" w:line="273" w:lineRule="auto"/>
        <w:tabs>
          <w:tab w:leader="none" w:pos="6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Exercisability</w:t>
      </w:r>
      <w:r>
        <w:rPr>
          <w:rFonts w:ascii="Times New Roman" w:cs="Times New Roman" w:eastAsia="Times New Roman" w:hAnsi="Times New Roman"/>
          <w:sz w:val="21"/>
          <w:szCs w:val="21"/>
          <w:color w:val="auto"/>
        </w:rPr>
        <w:t>. This Stock Option shall be exercisable according to the following schedule following the completion of six months of service by the Optionee with the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260" w:type="dxa"/>
        <w:tblCellMar>
          <w:top w:w="0" w:type="dxa"/>
          <w:left w:w="0" w:type="dxa"/>
          <w:bottom w:w="0" w:type="dxa"/>
          <w:right w:w="0" w:type="dxa"/>
        </w:tblCellMar>
      </w:tblPr>
      <w:tr>
        <w:trPr>
          <w:trHeight w:val="195"/>
        </w:trPr>
        <w:tc>
          <w:tcPr>
            <w:tcW w:w="2140" w:type="dxa"/>
            <w:vAlign w:val="bottom"/>
            <w:gridSpan w:val="2"/>
          </w:tcPr>
          <w:p>
            <w:pPr>
              <w:jc w:val="center"/>
              <w:ind w:right="1260"/>
              <w:spacing w:after="0"/>
              <w:rPr>
                <w:sz w:val="20"/>
                <w:szCs w:val="20"/>
                <w:color w:val="auto"/>
              </w:rPr>
            </w:pPr>
            <w:r>
              <w:rPr>
                <w:rFonts w:ascii="Times New Roman" w:cs="Times New Roman" w:eastAsia="Times New Roman" w:hAnsi="Times New Roman"/>
                <w:sz w:val="17"/>
                <w:szCs w:val="17"/>
                <w:color w:val="auto"/>
                <w:w w:val="98"/>
              </w:rPr>
              <w:t>Vesting Date</w:t>
            </w:r>
          </w:p>
        </w:tc>
        <w:tc>
          <w:tcPr>
            <w:tcW w:w="136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8"/>
              </w:rPr>
              <w:t>Vesting Percentage</w:t>
            </w:r>
          </w:p>
        </w:tc>
      </w:tr>
      <w:tr>
        <w:trPr>
          <w:trHeight w:val="233"/>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April 1</w:t>
            </w:r>
          </w:p>
        </w:tc>
        <w:tc>
          <w:tcPr>
            <w:tcW w:w="1260" w:type="dxa"/>
            <w:vAlign w:val="bottom"/>
          </w:tcPr>
          <w:p>
            <w:pPr>
              <w:spacing w:after="0"/>
              <w:rPr>
                <w:sz w:val="20"/>
                <w:szCs w:val="20"/>
                <w:color w:val="auto"/>
              </w:rPr>
            </w:pPr>
          </w:p>
        </w:tc>
        <w:tc>
          <w:tcPr>
            <w:tcW w:w="1360" w:type="dxa"/>
            <w:vAlign w:val="bottom"/>
            <w:tcBorders>
              <w:top w:val="single" w:sz="8" w:color="auto"/>
            </w:tcBorders>
          </w:tcPr>
          <w:p>
            <w:pPr>
              <w:ind w:left="520"/>
              <w:spacing w:after="0" w:line="233" w:lineRule="exact"/>
              <w:rPr>
                <w:sz w:val="20"/>
                <w:szCs w:val="20"/>
                <w:color w:val="auto"/>
              </w:rPr>
            </w:pPr>
            <w:r>
              <w:rPr>
                <w:rFonts w:ascii="Times New Roman" w:cs="Times New Roman" w:eastAsia="Times New Roman" w:hAnsi="Times New Roman"/>
                <w:sz w:val="17"/>
                <w:szCs w:val="17"/>
                <w:color w:val="auto"/>
              </w:rPr>
              <w:t>1/8</w:t>
            </w:r>
            <w:r>
              <w:rPr>
                <w:rFonts w:ascii="Times New Roman" w:cs="Times New Roman" w:eastAsia="Times New Roman" w:hAnsi="Times New Roman"/>
                <w:sz w:val="22"/>
                <w:szCs w:val="22"/>
                <w:color w:val="auto"/>
                <w:vertAlign w:val="superscript"/>
              </w:rPr>
              <w:t>th</w:t>
            </w:r>
          </w:p>
        </w:tc>
      </w:tr>
      <w:tr>
        <w:trPr>
          <w:trHeight w:val="220"/>
        </w:trPr>
        <w:tc>
          <w:tcPr>
            <w:tcW w:w="2140" w:type="dxa"/>
            <w:vAlign w:val="bottom"/>
            <w:gridSpan w:val="2"/>
          </w:tcPr>
          <w:p>
            <w:pPr>
              <w:jc w:val="center"/>
              <w:ind w:right="1260"/>
              <w:spacing w:after="0"/>
              <w:rPr>
                <w:sz w:val="20"/>
                <w:szCs w:val="20"/>
                <w:color w:val="auto"/>
              </w:rPr>
            </w:pPr>
            <w:r>
              <w:rPr>
                <w:rFonts w:ascii="Times New Roman" w:cs="Times New Roman" w:eastAsia="Times New Roman" w:hAnsi="Times New Roman"/>
                <w:sz w:val="17"/>
                <w:szCs w:val="17"/>
                <w:color w:val="auto"/>
              </w:rPr>
              <w:t>October 1</w:t>
            </w:r>
          </w:p>
        </w:tc>
        <w:tc>
          <w:tcPr>
            <w:tcW w:w="1360" w:type="dxa"/>
            <w:vAlign w:val="bottom"/>
          </w:tcPr>
          <w:p>
            <w:pPr>
              <w:ind w:left="520"/>
              <w:spacing w:after="0" w:line="220" w:lineRule="exact"/>
              <w:rPr>
                <w:sz w:val="20"/>
                <w:szCs w:val="20"/>
                <w:color w:val="auto"/>
              </w:rPr>
            </w:pPr>
            <w:r>
              <w:rPr>
                <w:rFonts w:ascii="Times New Roman" w:cs="Times New Roman" w:eastAsia="Times New Roman" w:hAnsi="Times New Roman"/>
                <w:sz w:val="17"/>
                <w:szCs w:val="17"/>
                <w:color w:val="auto"/>
              </w:rPr>
              <w:t>1/8</w:t>
            </w:r>
            <w:r>
              <w:rPr>
                <w:rFonts w:ascii="Times New Roman" w:cs="Times New Roman" w:eastAsia="Times New Roman" w:hAnsi="Times New Roman"/>
                <w:sz w:val="22"/>
                <w:szCs w:val="22"/>
                <w:color w:val="auto"/>
                <w:vertAlign w:val="superscript"/>
              </w:rPr>
              <w:t>th</w:t>
            </w:r>
          </w:p>
        </w:tc>
      </w:tr>
      <w:tr>
        <w:trPr>
          <w:trHeight w:val="220"/>
        </w:trPr>
        <w:tc>
          <w:tcPr>
            <w:tcW w:w="2140" w:type="dxa"/>
            <w:vAlign w:val="bottom"/>
            <w:gridSpan w:val="2"/>
          </w:tcPr>
          <w:p>
            <w:pPr>
              <w:jc w:val="center"/>
              <w:ind w:right="1240"/>
              <w:spacing w:after="0"/>
              <w:rPr>
                <w:sz w:val="20"/>
                <w:szCs w:val="20"/>
                <w:color w:val="auto"/>
              </w:rPr>
            </w:pPr>
            <w:r>
              <w:rPr>
                <w:rFonts w:ascii="Times New Roman" w:cs="Times New Roman" w:eastAsia="Times New Roman" w:hAnsi="Times New Roman"/>
                <w:sz w:val="17"/>
                <w:szCs w:val="17"/>
                <w:color w:val="auto"/>
              </w:rPr>
              <w:t>April 1</w:t>
            </w:r>
          </w:p>
        </w:tc>
        <w:tc>
          <w:tcPr>
            <w:tcW w:w="1360" w:type="dxa"/>
            <w:vAlign w:val="bottom"/>
          </w:tcPr>
          <w:p>
            <w:pPr>
              <w:ind w:left="520"/>
              <w:spacing w:after="0" w:line="220" w:lineRule="exact"/>
              <w:rPr>
                <w:sz w:val="20"/>
                <w:szCs w:val="20"/>
                <w:color w:val="auto"/>
              </w:rPr>
            </w:pPr>
            <w:r>
              <w:rPr>
                <w:rFonts w:ascii="Times New Roman" w:cs="Times New Roman" w:eastAsia="Times New Roman" w:hAnsi="Times New Roman"/>
                <w:sz w:val="17"/>
                <w:szCs w:val="17"/>
                <w:color w:val="auto"/>
              </w:rPr>
              <w:t>1/8</w:t>
            </w:r>
            <w:r>
              <w:rPr>
                <w:rFonts w:ascii="Times New Roman" w:cs="Times New Roman" w:eastAsia="Times New Roman" w:hAnsi="Times New Roman"/>
                <w:sz w:val="22"/>
                <w:szCs w:val="22"/>
                <w:color w:val="auto"/>
                <w:vertAlign w:val="superscript"/>
              </w:rPr>
              <w:t>th</w:t>
            </w:r>
          </w:p>
        </w:tc>
      </w:tr>
      <w:tr>
        <w:trPr>
          <w:trHeight w:val="220"/>
        </w:trPr>
        <w:tc>
          <w:tcPr>
            <w:tcW w:w="2140" w:type="dxa"/>
            <w:vAlign w:val="bottom"/>
            <w:gridSpan w:val="2"/>
          </w:tcPr>
          <w:p>
            <w:pPr>
              <w:jc w:val="center"/>
              <w:ind w:right="1260"/>
              <w:spacing w:after="0"/>
              <w:rPr>
                <w:sz w:val="20"/>
                <w:szCs w:val="20"/>
                <w:color w:val="auto"/>
              </w:rPr>
            </w:pPr>
            <w:r>
              <w:rPr>
                <w:rFonts w:ascii="Times New Roman" w:cs="Times New Roman" w:eastAsia="Times New Roman" w:hAnsi="Times New Roman"/>
                <w:sz w:val="17"/>
                <w:szCs w:val="17"/>
                <w:color w:val="auto"/>
              </w:rPr>
              <w:t>October 1</w:t>
            </w:r>
          </w:p>
        </w:tc>
        <w:tc>
          <w:tcPr>
            <w:tcW w:w="1360" w:type="dxa"/>
            <w:vAlign w:val="bottom"/>
          </w:tcPr>
          <w:p>
            <w:pPr>
              <w:ind w:left="520"/>
              <w:spacing w:after="0" w:line="220" w:lineRule="exact"/>
              <w:rPr>
                <w:sz w:val="20"/>
                <w:szCs w:val="20"/>
                <w:color w:val="auto"/>
              </w:rPr>
            </w:pPr>
            <w:r>
              <w:rPr>
                <w:rFonts w:ascii="Times New Roman" w:cs="Times New Roman" w:eastAsia="Times New Roman" w:hAnsi="Times New Roman"/>
                <w:sz w:val="17"/>
                <w:szCs w:val="17"/>
                <w:color w:val="auto"/>
              </w:rPr>
              <w:t>1/8</w:t>
            </w:r>
            <w:r>
              <w:rPr>
                <w:rFonts w:ascii="Times New Roman" w:cs="Times New Roman" w:eastAsia="Times New Roman" w:hAnsi="Times New Roman"/>
                <w:sz w:val="22"/>
                <w:szCs w:val="22"/>
                <w:color w:val="auto"/>
                <w:vertAlign w:val="superscript"/>
              </w:rPr>
              <w:t>th</w:t>
            </w:r>
          </w:p>
        </w:tc>
      </w:tr>
      <w:tr>
        <w:trPr>
          <w:trHeight w:val="220"/>
        </w:trPr>
        <w:tc>
          <w:tcPr>
            <w:tcW w:w="2140" w:type="dxa"/>
            <w:vAlign w:val="bottom"/>
            <w:gridSpan w:val="2"/>
          </w:tcPr>
          <w:p>
            <w:pPr>
              <w:jc w:val="center"/>
              <w:ind w:right="1240"/>
              <w:spacing w:after="0"/>
              <w:rPr>
                <w:sz w:val="20"/>
                <w:szCs w:val="20"/>
                <w:color w:val="auto"/>
              </w:rPr>
            </w:pPr>
            <w:r>
              <w:rPr>
                <w:rFonts w:ascii="Times New Roman" w:cs="Times New Roman" w:eastAsia="Times New Roman" w:hAnsi="Times New Roman"/>
                <w:sz w:val="17"/>
                <w:szCs w:val="17"/>
                <w:color w:val="auto"/>
              </w:rPr>
              <w:t>April 1</w:t>
            </w:r>
          </w:p>
        </w:tc>
        <w:tc>
          <w:tcPr>
            <w:tcW w:w="1360" w:type="dxa"/>
            <w:vAlign w:val="bottom"/>
          </w:tcPr>
          <w:p>
            <w:pPr>
              <w:ind w:left="520"/>
              <w:spacing w:after="0" w:line="220" w:lineRule="exact"/>
              <w:rPr>
                <w:sz w:val="20"/>
                <w:szCs w:val="20"/>
                <w:color w:val="auto"/>
              </w:rPr>
            </w:pPr>
            <w:r>
              <w:rPr>
                <w:rFonts w:ascii="Times New Roman" w:cs="Times New Roman" w:eastAsia="Times New Roman" w:hAnsi="Times New Roman"/>
                <w:sz w:val="17"/>
                <w:szCs w:val="17"/>
                <w:color w:val="auto"/>
              </w:rPr>
              <w:t>1/8</w:t>
            </w:r>
            <w:r>
              <w:rPr>
                <w:rFonts w:ascii="Times New Roman" w:cs="Times New Roman" w:eastAsia="Times New Roman" w:hAnsi="Times New Roman"/>
                <w:sz w:val="22"/>
                <w:szCs w:val="22"/>
                <w:color w:val="auto"/>
                <w:vertAlign w:val="superscript"/>
              </w:rPr>
              <w:t>th</w:t>
            </w:r>
          </w:p>
        </w:tc>
      </w:tr>
      <w:tr>
        <w:trPr>
          <w:trHeight w:val="220"/>
        </w:trPr>
        <w:tc>
          <w:tcPr>
            <w:tcW w:w="2140" w:type="dxa"/>
            <w:vAlign w:val="bottom"/>
            <w:gridSpan w:val="2"/>
          </w:tcPr>
          <w:p>
            <w:pPr>
              <w:jc w:val="center"/>
              <w:ind w:right="1260"/>
              <w:spacing w:after="0"/>
              <w:rPr>
                <w:sz w:val="20"/>
                <w:szCs w:val="20"/>
                <w:color w:val="auto"/>
              </w:rPr>
            </w:pPr>
            <w:r>
              <w:rPr>
                <w:rFonts w:ascii="Times New Roman" w:cs="Times New Roman" w:eastAsia="Times New Roman" w:hAnsi="Times New Roman"/>
                <w:sz w:val="17"/>
                <w:szCs w:val="17"/>
                <w:color w:val="auto"/>
              </w:rPr>
              <w:t>October 1</w:t>
            </w:r>
          </w:p>
        </w:tc>
        <w:tc>
          <w:tcPr>
            <w:tcW w:w="1360" w:type="dxa"/>
            <w:vAlign w:val="bottom"/>
          </w:tcPr>
          <w:p>
            <w:pPr>
              <w:ind w:left="520"/>
              <w:spacing w:after="0" w:line="220" w:lineRule="exact"/>
              <w:rPr>
                <w:sz w:val="20"/>
                <w:szCs w:val="20"/>
                <w:color w:val="auto"/>
              </w:rPr>
            </w:pPr>
            <w:r>
              <w:rPr>
                <w:rFonts w:ascii="Times New Roman" w:cs="Times New Roman" w:eastAsia="Times New Roman" w:hAnsi="Times New Roman"/>
                <w:sz w:val="17"/>
                <w:szCs w:val="17"/>
                <w:color w:val="auto"/>
              </w:rPr>
              <w:t>1/8</w:t>
            </w:r>
            <w:r>
              <w:rPr>
                <w:rFonts w:ascii="Times New Roman" w:cs="Times New Roman" w:eastAsia="Times New Roman" w:hAnsi="Times New Roman"/>
                <w:sz w:val="22"/>
                <w:szCs w:val="22"/>
                <w:color w:val="auto"/>
                <w:vertAlign w:val="superscript"/>
              </w:rPr>
              <w:t>th</w:t>
            </w:r>
          </w:p>
        </w:tc>
      </w:tr>
      <w:tr>
        <w:trPr>
          <w:trHeight w:val="220"/>
        </w:trPr>
        <w:tc>
          <w:tcPr>
            <w:tcW w:w="2140" w:type="dxa"/>
            <w:vAlign w:val="bottom"/>
            <w:gridSpan w:val="2"/>
          </w:tcPr>
          <w:p>
            <w:pPr>
              <w:jc w:val="center"/>
              <w:ind w:right="1240"/>
              <w:spacing w:after="0"/>
              <w:rPr>
                <w:sz w:val="20"/>
                <w:szCs w:val="20"/>
                <w:color w:val="auto"/>
              </w:rPr>
            </w:pPr>
            <w:r>
              <w:rPr>
                <w:rFonts w:ascii="Times New Roman" w:cs="Times New Roman" w:eastAsia="Times New Roman" w:hAnsi="Times New Roman"/>
                <w:sz w:val="17"/>
                <w:szCs w:val="17"/>
                <w:color w:val="auto"/>
              </w:rPr>
              <w:t>April 1</w:t>
            </w:r>
          </w:p>
        </w:tc>
        <w:tc>
          <w:tcPr>
            <w:tcW w:w="1360" w:type="dxa"/>
            <w:vAlign w:val="bottom"/>
          </w:tcPr>
          <w:p>
            <w:pPr>
              <w:ind w:left="520"/>
              <w:spacing w:after="0" w:line="220" w:lineRule="exact"/>
              <w:rPr>
                <w:sz w:val="20"/>
                <w:szCs w:val="20"/>
                <w:color w:val="auto"/>
              </w:rPr>
            </w:pPr>
            <w:r>
              <w:rPr>
                <w:rFonts w:ascii="Times New Roman" w:cs="Times New Roman" w:eastAsia="Times New Roman" w:hAnsi="Times New Roman"/>
                <w:sz w:val="17"/>
                <w:szCs w:val="17"/>
                <w:color w:val="auto"/>
              </w:rPr>
              <w:t>1/8</w:t>
            </w:r>
            <w:r>
              <w:rPr>
                <w:rFonts w:ascii="Times New Roman" w:cs="Times New Roman" w:eastAsia="Times New Roman" w:hAnsi="Times New Roman"/>
                <w:sz w:val="22"/>
                <w:szCs w:val="22"/>
                <w:color w:val="auto"/>
                <w:vertAlign w:val="superscript"/>
              </w:rPr>
              <w:t>th</w:t>
            </w:r>
          </w:p>
        </w:tc>
      </w:tr>
      <w:tr>
        <w:trPr>
          <w:trHeight w:val="306"/>
        </w:trPr>
        <w:tc>
          <w:tcPr>
            <w:tcW w:w="2140" w:type="dxa"/>
            <w:vAlign w:val="bottom"/>
            <w:gridSpan w:val="2"/>
          </w:tcPr>
          <w:p>
            <w:pPr>
              <w:jc w:val="center"/>
              <w:ind w:right="1260"/>
              <w:spacing w:after="0"/>
              <w:rPr>
                <w:sz w:val="20"/>
                <w:szCs w:val="20"/>
                <w:color w:val="auto"/>
              </w:rPr>
            </w:pPr>
            <w:r>
              <w:rPr>
                <w:rFonts w:ascii="Times New Roman" w:cs="Times New Roman" w:eastAsia="Times New Roman" w:hAnsi="Times New Roman"/>
                <w:sz w:val="17"/>
                <w:szCs w:val="17"/>
                <w:color w:val="auto"/>
              </w:rPr>
              <w:t>October 1</w:t>
            </w:r>
          </w:p>
        </w:tc>
        <w:tc>
          <w:tcPr>
            <w:tcW w:w="13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1/8</w:t>
            </w:r>
            <w:r>
              <w:rPr>
                <w:rFonts w:ascii="Times New Roman" w:cs="Times New Roman" w:eastAsia="Times New Roman" w:hAnsi="Times New Roman"/>
                <w:sz w:val="22"/>
                <w:szCs w:val="22"/>
                <w:color w:val="auto"/>
                <w:vertAlign w:val="superscript"/>
              </w:rPr>
              <w:t>th</w:t>
            </w:r>
          </w:p>
        </w:tc>
      </w:tr>
    </w:tbl>
    <w:p>
      <w:pPr>
        <w:sectPr>
          <w:pgSz w:w="11900" w:h="16838" w:orient="portrait"/>
          <w:cols w:equalWidth="0" w:num="1">
            <w:col w:w="11240"/>
          </w:cols>
          <w:pgMar w:left="320" w:top="1352" w:right="339" w:bottom="1440" w:gutter="0" w:footer="0" w:header="0"/>
        </w:sectPr>
      </w:pPr>
    </w:p>
    <w:bookmarkStart w:id="81" w:name="page82"/>
    <w:bookmarkEnd w:id="81"/>
    <w:p>
      <w:pPr>
        <w:ind w:left="306" w:hanging="306"/>
        <w:spacing w:after="0"/>
        <w:tabs>
          <w:tab w:leader="none" w:pos="30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Manner of Exercise and Tax Withholding</w:t>
      </w:r>
      <w:r>
        <w:rPr>
          <w:rFonts w:ascii="Times New Roman" w:cs="Times New Roman" w:eastAsia="Times New Roman" w:hAnsi="Times New Roman"/>
          <w:sz w:val="21"/>
          <w:szCs w:val="21"/>
          <w:color w:val="auto"/>
        </w:rPr>
        <w:t>.</w:t>
      </w:r>
    </w:p>
    <w:p>
      <w:pPr>
        <w:spacing w:after="0" w:line="224" w:lineRule="exact"/>
        <w:rPr>
          <w:rFonts w:ascii="Times New Roman" w:cs="Times New Roman" w:eastAsia="Times New Roman" w:hAnsi="Times New Roman"/>
          <w:sz w:val="21"/>
          <w:szCs w:val="21"/>
          <w:color w:val="auto"/>
        </w:rPr>
      </w:pPr>
    </w:p>
    <w:p>
      <w:pPr>
        <w:jc w:val="both"/>
        <w:ind w:left="926" w:hanging="305"/>
        <w:spacing w:after="0" w:line="252" w:lineRule="auto"/>
        <w:tabs>
          <w:tab w:leader="none" w:pos="914"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 on or prior to the Expiration Date, the Optionee may give written notice to the Administrator or E*Trade of his or her election to purchase some or all of the Option Shares purchasable at the time of such notice. This notice shall specify the number of Option Shares to be purchased.</w:t>
      </w:r>
    </w:p>
    <w:p>
      <w:pPr>
        <w:spacing w:after="0" w:line="196" w:lineRule="exact"/>
        <w:rPr>
          <w:rFonts w:ascii="Times New Roman" w:cs="Times New Roman" w:eastAsia="Times New Roman" w:hAnsi="Times New Roman"/>
          <w:sz w:val="21"/>
          <w:szCs w:val="21"/>
          <w:color w:val="auto"/>
        </w:rPr>
      </w:pPr>
    </w:p>
    <w:p>
      <w:pPr>
        <w:jc w:val="both"/>
        <w:ind w:left="926" w:hanging="305"/>
        <w:spacing w:after="0" w:line="252" w:lineRule="auto"/>
        <w:tabs>
          <w:tab w:leader="none" w:pos="92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the Option purchase price may be made by one or more of the following methods as elected by the Optionee: (i) in cash, by certified or bank check or other instrument acceptable to the Company; (ii) through the delivery of shares of Stock (or attestation to the ownership) that have been purchased by the Optionee on the open market or that have been beneficially owned by the Optionee for at least six months; (iii) by the Company reducing the number of shares otherwise issuable to Optionee upon the exercise of the Option by the largest whole number of shares having a Fair Market Value that does not exceed the aggregate purchase price for the shares for which the Option is exercised, and Optionee paying to the Company in cash the remaining balance of the aggregate Exercise Price; (iv) a combination of (i), (ii) and (iii); or (v) by the Optionee delivering to the Company a properly executed written or electronic exercise notice together with irrevocable instructions to E*Trade or other broker acceptable to the Company to promptly deliver to the Company cash or a check payable and acceptable to the Company to pay the option purchase price.</w:t>
      </w:r>
    </w:p>
    <w:p>
      <w:pPr>
        <w:spacing w:after="0" w:line="185" w:lineRule="exact"/>
        <w:rPr>
          <w:rFonts w:ascii="Times New Roman" w:cs="Times New Roman" w:eastAsia="Times New Roman" w:hAnsi="Times New Roman"/>
          <w:sz w:val="20"/>
          <w:szCs w:val="20"/>
          <w:color w:val="auto"/>
        </w:rPr>
      </w:pPr>
    </w:p>
    <w:p>
      <w:pPr>
        <w:jc w:val="both"/>
        <w:ind w:left="926" w:hanging="305"/>
        <w:spacing w:after="0" w:line="241" w:lineRule="auto"/>
        <w:tabs>
          <w:tab w:leader="none" w:pos="914"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97" w:lineRule="exact"/>
        <w:rPr>
          <w:rFonts w:ascii="Times New Roman" w:cs="Times New Roman" w:eastAsia="Times New Roman" w:hAnsi="Times New Roman"/>
          <w:sz w:val="21"/>
          <w:szCs w:val="21"/>
          <w:color w:val="auto"/>
        </w:rPr>
      </w:pPr>
    </w:p>
    <w:p>
      <w:pPr>
        <w:jc w:val="both"/>
        <w:ind w:left="926" w:hanging="305"/>
        <w:spacing w:after="0" w:line="245" w:lineRule="auto"/>
        <w:tabs>
          <w:tab w:leader="none" w:pos="926"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tax withholding obligations and procedures set forth in the Plan, a grantee may elect to have the Company’s minimum required tax withholding obligation satisfied, in whole or in part, by authorizing the Company to withhold from shares of Stock to be issued pursuant to any Award a number of shares with an aggregate Fair Market Value (as of the date the withholding is effected) that would satisfy the withholding amount due.</w:t>
      </w:r>
    </w:p>
    <w:p>
      <w:pPr>
        <w:spacing w:after="0" w:line="204" w:lineRule="exact"/>
        <w:rPr>
          <w:rFonts w:ascii="Times New Roman" w:cs="Times New Roman" w:eastAsia="Times New Roman" w:hAnsi="Times New Roman"/>
          <w:sz w:val="21"/>
          <w:szCs w:val="21"/>
          <w:color w:val="auto"/>
        </w:rPr>
      </w:pPr>
    </w:p>
    <w:p>
      <w:pPr>
        <w:ind w:left="926" w:hanging="305"/>
        <w:spacing w:after="0" w:line="260" w:lineRule="auto"/>
        <w:tabs>
          <w:tab w:leader="none" w:pos="914"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hereof or of the Plan, no portion of this Stock Option shall be exercisable after the Expiration Date hereof.</w:t>
      </w:r>
    </w:p>
    <w:p>
      <w:pPr>
        <w:sectPr>
          <w:pgSz w:w="11900" w:h="16838" w:orient="portrait"/>
          <w:cols w:equalWidth="0" w:num="1">
            <w:col w:w="10926"/>
          </w:cols>
          <w:pgMar w:left="634" w:top="1354" w:right="339" w:bottom="1440" w:gutter="0" w:footer="0" w:header="0"/>
        </w:sectPr>
      </w:pPr>
    </w:p>
    <w:bookmarkStart w:id="82" w:name="page83"/>
    <w:bookmarkEnd w:id="82"/>
    <w:p>
      <w:pPr>
        <w:ind w:left="306" w:hanging="306"/>
        <w:spacing w:after="0" w:line="260" w:lineRule="auto"/>
        <w:tabs>
          <w:tab w:leader="none" w:pos="30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as Employee</w:t>
      </w:r>
      <w:r>
        <w:rPr>
          <w:rFonts w:ascii="Times New Roman" w:cs="Times New Roman" w:eastAsia="Times New Roman" w:hAnsi="Times New Roman"/>
          <w:sz w:val="21"/>
          <w:szCs w:val="21"/>
          <w:color w:val="auto"/>
        </w:rPr>
        <w:t>. If the Optionee ceases to be an employee of the Company, the period within which to exercise the Stock Option may be subject to earlier termination as set forth below:</w:t>
      </w:r>
    </w:p>
    <w:p>
      <w:pPr>
        <w:spacing w:after="0" w:line="188" w:lineRule="exact"/>
        <w:rPr>
          <w:rFonts w:ascii="Times New Roman" w:cs="Times New Roman" w:eastAsia="Times New Roman" w:hAnsi="Times New Roman"/>
          <w:sz w:val="21"/>
          <w:szCs w:val="21"/>
          <w:color w:val="auto"/>
        </w:rPr>
      </w:pPr>
    </w:p>
    <w:p>
      <w:pPr>
        <w:jc w:val="both"/>
        <w:ind w:left="926" w:hanging="305"/>
        <w:spacing w:after="0" w:line="241" w:lineRule="auto"/>
        <w:tabs>
          <w:tab w:leader="none" w:pos="914"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Reason of Death</w:t>
      </w:r>
      <w:r>
        <w:rPr>
          <w:rFonts w:ascii="Times New Roman" w:cs="Times New Roman" w:eastAsia="Times New Roman" w:hAnsi="Times New Roman"/>
          <w:sz w:val="21"/>
          <w:szCs w:val="21"/>
          <w:color w:val="auto"/>
        </w:rPr>
        <w:t>. If the Optionee ceases to be an employee by reason of the Optionee’s death, any portion of this Stock Option outstanding on such date may be exercised by his or her legal representative or legatee for a period of 24 months from the date of cessation of service as an employee or 10 days after the end of the blackout period in effect during such post-termination period, if later; provided, however, that this Stock Option shall nevertheless expire on the Expiration Date, if earlier.</w:t>
      </w:r>
    </w:p>
    <w:p>
      <w:pPr>
        <w:spacing w:after="0" w:line="210" w:lineRule="exact"/>
        <w:rPr>
          <w:rFonts w:ascii="Times New Roman" w:cs="Times New Roman" w:eastAsia="Times New Roman" w:hAnsi="Times New Roman"/>
          <w:sz w:val="21"/>
          <w:szCs w:val="21"/>
          <w:color w:val="auto"/>
        </w:rPr>
      </w:pPr>
    </w:p>
    <w:p>
      <w:pPr>
        <w:jc w:val="both"/>
        <w:ind w:left="926" w:hanging="305"/>
        <w:spacing w:after="0" w:line="252" w:lineRule="auto"/>
        <w:tabs>
          <w:tab w:leader="none" w:pos="92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Reason of Cause</w:t>
      </w:r>
      <w:r>
        <w:rPr>
          <w:rFonts w:ascii="Times New Roman" w:cs="Times New Roman" w:eastAsia="Times New Roman" w:hAnsi="Times New Roman"/>
          <w:sz w:val="21"/>
          <w:szCs w:val="21"/>
          <w:color w:val="auto"/>
        </w:rPr>
        <w:t>. If the Optionee ceases to be an employee by reason of the Optionee’s termination of service for Cause (as defined in the Plan), no portion of this Stock Option may be exercised after the last day of employment.</w:t>
      </w:r>
    </w:p>
    <w:p>
      <w:pPr>
        <w:spacing w:after="0" w:line="183" w:lineRule="exact"/>
        <w:rPr>
          <w:rFonts w:ascii="Times New Roman" w:cs="Times New Roman" w:eastAsia="Times New Roman" w:hAnsi="Times New Roman"/>
          <w:sz w:val="21"/>
          <w:szCs w:val="21"/>
          <w:color w:val="auto"/>
        </w:rPr>
      </w:pPr>
    </w:p>
    <w:p>
      <w:pPr>
        <w:jc w:val="both"/>
        <w:ind w:left="926" w:hanging="305"/>
        <w:spacing w:after="0" w:line="241" w:lineRule="auto"/>
        <w:tabs>
          <w:tab w:leader="none" w:pos="914"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Reason of Disability</w:t>
      </w:r>
      <w:r>
        <w:rPr>
          <w:rFonts w:ascii="Times New Roman" w:cs="Times New Roman" w:eastAsia="Times New Roman" w:hAnsi="Times New Roman"/>
          <w:sz w:val="21"/>
          <w:szCs w:val="21"/>
          <w:color w:val="auto"/>
        </w:rPr>
        <w:t>. If the Optionee ceases to be an employee by reason of the Optionee’s Disability (as defined in the Plan), any portion of this Stock Option outstanding on such date, may be exercised by the Optionee for a period of 12 months from the date of cessation of services as an employee or 10 days after the end of the blackout period in effect during such post-termination period, if later; provided, however, that this Stock Option shall nevertheless expire on the Expiration Date, if earlier.</w:t>
      </w:r>
    </w:p>
    <w:p>
      <w:pPr>
        <w:spacing w:after="0" w:line="210" w:lineRule="exact"/>
        <w:rPr>
          <w:rFonts w:ascii="Times New Roman" w:cs="Times New Roman" w:eastAsia="Times New Roman" w:hAnsi="Times New Roman"/>
          <w:sz w:val="21"/>
          <w:szCs w:val="21"/>
          <w:color w:val="auto"/>
        </w:rPr>
      </w:pPr>
    </w:p>
    <w:p>
      <w:pPr>
        <w:jc w:val="both"/>
        <w:ind w:left="926" w:hanging="305"/>
        <w:spacing w:after="0" w:line="241" w:lineRule="auto"/>
        <w:tabs>
          <w:tab w:leader="none" w:pos="92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Termination</w:t>
      </w:r>
      <w:r>
        <w:rPr>
          <w:rFonts w:ascii="Times New Roman" w:cs="Times New Roman" w:eastAsia="Times New Roman" w:hAnsi="Times New Roman"/>
          <w:sz w:val="21"/>
          <w:szCs w:val="21"/>
          <w:color w:val="auto"/>
        </w:rPr>
        <w:t>. If the Optionee ceases to be an employee for any reason other than the Optionee’s death or termination for Cause or Disability, any portion of this Stock Option outstanding on such date may be exercised for a period of 90 days from the date of cessation of services as an employee or 10 days after the end of the blackout period in effect during such post-termination period, if later; provided, however, that this Stock Option shall nevertheless expire on the Expiration Date, if earlier.</w:t>
      </w:r>
    </w:p>
    <w:p>
      <w:pPr>
        <w:spacing w:after="0" w:line="210" w:lineRule="exact"/>
        <w:rPr>
          <w:rFonts w:ascii="Times New Roman" w:cs="Times New Roman" w:eastAsia="Times New Roman" w:hAnsi="Times New Roman"/>
          <w:sz w:val="21"/>
          <w:szCs w:val="21"/>
          <w:color w:val="auto"/>
        </w:rPr>
      </w:pPr>
    </w:p>
    <w:p>
      <w:pPr>
        <w:jc w:val="both"/>
        <w:ind w:left="306" w:hanging="306"/>
        <w:spacing w:after="0" w:line="252" w:lineRule="auto"/>
        <w:tabs>
          <w:tab w:leader="none" w:pos="30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Stock Option shall be subject to and governed by all the terms and conditions of the Plan. Capitalized terms in this Agreement shall have the meaning specified in the Plan, unless a different meaning is specified herein.</w:t>
      </w:r>
    </w:p>
    <w:p>
      <w:pPr>
        <w:spacing w:after="0" w:line="183" w:lineRule="exact"/>
        <w:rPr>
          <w:rFonts w:ascii="Times New Roman" w:cs="Times New Roman" w:eastAsia="Times New Roman" w:hAnsi="Times New Roman"/>
          <w:sz w:val="21"/>
          <w:szCs w:val="21"/>
          <w:color w:val="auto"/>
        </w:rPr>
      </w:pPr>
    </w:p>
    <w:p>
      <w:pPr>
        <w:jc w:val="both"/>
        <w:ind w:left="306" w:hanging="306"/>
        <w:spacing w:after="0" w:line="261" w:lineRule="auto"/>
        <w:tabs>
          <w:tab w:leader="none" w:pos="30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This Agreement is personal to the Optionee, is non-assignable and is not transferable in any manner, by operation of law or otherwise, other than by will or the laws of descent and distribution; provided, however, that with the consent of the Administrator, this Stock Option may be transferred, without payment of consideration, to a member of the Optionee’s immediate family or to a trust or partnership whose beneficiaries are members of the Optionee’s immediate family.</w:t>
      </w:r>
    </w:p>
    <w:p>
      <w:pPr>
        <w:sectPr>
          <w:pgSz w:w="11900" w:h="16838" w:orient="portrait"/>
          <w:cols w:equalWidth="0" w:num="1">
            <w:col w:w="10926"/>
          </w:cols>
          <w:pgMar w:left="634" w:top="1354" w:right="339" w:bottom="1440" w:gutter="0" w:footer="0" w:header="0"/>
        </w:sectPr>
      </w:pPr>
    </w:p>
    <w:bookmarkStart w:id="83" w:name="page84"/>
    <w:bookmarkEnd w:id="83"/>
    <w:p>
      <w:pPr>
        <w:ind w:left="306" w:hanging="306"/>
        <w:spacing w:after="0" w:line="260" w:lineRule="auto"/>
        <w:tabs>
          <w:tab w:leader="none" w:pos="30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as an Employee</w:t>
      </w:r>
      <w:r>
        <w:rPr>
          <w:rFonts w:ascii="Times New Roman" w:cs="Times New Roman" w:eastAsia="Times New Roman" w:hAnsi="Times New Roman"/>
          <w:sz w:val="21"/>
          <w:szCs w:val="21"/>
          <w:color w:val="auto"/>
        </w:rPr>
        <w:t>. Neither the Plan nor this Stock Option confers upon the Optionee any rights with respect to continuance as an employee of the Company.</w:t>
      </w:r>
    </w:p>
    <w:p>
      <w:pPr>
        <w:spacing w:after="0" w:line="188" w:lineRule="exact"/>
        <w:rPr>
          <w:rFonts w:ascii="Times New Roman" w:cs="Times New Roman" w:eastAsia="Times New Roman" w:hAnsi="Times New Roman"/>
          <w:sz w:val="21"/>
          <w:szCs w:val="21"/>
          <w:color w:val="auto"/>
        </w:rPr>
      </w:pPr>
    </w:p>
    <w:p>
      <w:pPr>
        <w:jc w:val="both"/>
        <w:ind w:left="306" w:hanging="306"/>
        <w:spacing w:after="0" w:line="252" w:lineRule="auto"/>
        <w:tabs>
          <w:tab w:leader="none" w:pos="30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ectPr>
          <w:pgSz w:w="11900" w:h="16838" w:orient="portrait"/>
          <w:cols w:equalWidth="0" w:num="1">
            <w:col w:w="10926"/>
          </w:cols>
          <w:pgMar w:left="634" w:top="1354" w:right="339" w:bottom="1440" w:gutter="0" w:footer="0" w:header="0"/>
        </w:sectPr>
      </w:pPr>
    </w:p>
    <w:bookmarkStart w:id="84" w:name="page85"/>
    <w:bookmarkEnd w:id="84"/>
    <w:p>
      <w:pPr>
        <w:spacing w:after="0" w:line="38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PROGRESS SOFTWARE CORPORATION</w:t>
      </w:r>
    </w:p>
    <w:p>
      <w:pPr>
        <w:spacing w:after="0" w:line="22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By: ____________________________________</w:t>
      </w:r>
    </w:p>
    <w:p>
      <w:pPr>
        <w:spacing w:after="0" w:line="23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Title: ____________________________________</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foregoing Agreement is hereby accepted and the terms and conditions thereof hereby agreed to by the undersigned.</w:t>
      </w:r>
    </w:p>
    <w:p>
      <w:pPr>
        <w:spacing w:after="0" w:line="24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1"/>
          <w:szCs w:val="21"/>
          <w:color w:val="auto"/>
        </w:rPr>
        <w:t>Dated: ______________________</w:t>
      </w:r>
      <w:r>
        <w:rPr>
          <w:sz w:val="20"/>
          <w:szCs w:val="20"/>
          <w:color w:val="auto"/>
        </w:rPr>
        <w:tab/>
      </w:r>
      <w:r>
        <w:rPr>
          <w:rFonts w:ascii="Times New Roman" w:cs="Times New Roman" w:eastAsia="Times New Roman" w:hAnsi="Times New Roman"/>
          <w:sz w:val="20"/>
          <w:szCs w:val="20"/>
          <w:color w:val="auto"/>
        </w:rPr>
        <w:t>____________________________________</w:t>
      </w:r>
    </w:p>
    <w:p>
      <w:pPr>
        <w:spacing w:after="0" w:line="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Optionee’s Signature</w:t>
      </w:r>
    </w:p>
    <w:p>
      <w:pPr>
        <w:sectPr>
          <w:pgSz w:w="11900" w:h="16838" w:orient="portrait"/>
          <w:cols w:equalWidth="0" w:num="1">
            <w:col w:w="10540"/>
          </w:cols>
          <w:pgMar w:left="320" w:top="1440" w:right="10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7"/>
          <w:szCs w:val="17"/>
          <w:b w:val="1"/>
          <w:bCs w:val="1"/>
          <w:color w:val="auto"/>
        </w:rPr>
        <w:t>Exhibit 10.13</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EMPLOYEE RETENTION AND MOTIVATION AGREEMENT</w:t>
      </w:r>
    </w:p>
    <w:p>
      <w:pPr>
        <w:spacing w:after="0" w:line="224" w:lineRule="exact"/>
        <w:rPr>
          <w:sz w:val="20"/>
          <w:szCs w:val="20"/>
          <w:color w:val="auto"/>
        </w:rPr>
      </w:pPr>
    </w:p>
    <w:p>
      <w:pPr>
        <w:ind w:firstLine="621"/>
        <w:spacing w:after="0" w:line="262"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xml:space="preserve"> (the "Agreement") is effective as of November 19, 2025 (the "Agreement Date") by and between Yogesh K. Gupta (the "Covered Person") and Progress Software Corporation, a Delaware corporation (the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 E C I T A L S</w:t>
      </w:r>
    </w:p>
    <w:p>
      <w:pPr>
        <w:spacing w:after="0" w:line="226" w:lineRule="exact"/>
        <w:rPr>
          <w:sz w:val="20"/>
          <w:szCs w:val="20"/>
          <w:color w:val="auto"/>
        </w:rPr>
      </w:pPr>
    </w:p>
    <w:p>
      <w:pPr>
        <w:ind w:left="620" w:hanging="306"/>
        <w:spacing w:after="0" w:line="260" w:lineRule="auto"/>
        <w:tabs>
          <w:tab w:leader="none" w:pos="61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Covered Person presently serves as an employee or officer of the Company in a role that is important to the continued conduct of the Company's business and operations.</w:t>
      </w:r>
    </w:p>
    <w:p>
      <w:pPr>
        <w:spacing w:after="0" w:line="162" w:lineRule="exact"/>
        <w:rPr>
          <w:rFonts w:ascii="Times New Roman" w:cs="Times New Roman" w:eastAsia="Times New Roman" w:hAnsi="Times New Roman"/>
          <w:sz w:val="21"/>
          <w:szCs w:val="21"/>
          <w:color w:val="auto"/>
        </w:rPr>
      </w:pPr>
    </w:p>
    <w:p>
      <w:pPr>
        <w:jc w:val="both"/>
        <w:ind w:left="620" w:hanging="306"/>
        <w:spacing w:after="0" w:line="245" w:lineRule="auto"/>
        <w:tabs>
          <w:tab w:leader="none" w:pos="61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Directors of the Company (the "Board") has determined that it is in the best interest of the Company and its stockholders to assure that the Company will have the continued dedication and objectivity of the Covered Person, notwithstanding the possibility, threat or occurrence of a Change of Control (as defined below) of the Company.</w:t>
      </w:r>
    </w:p>
    <w:p>
      <w:pPr>
        <w:spacing w:after="0" w:line="191" w:lineRule="exact"/>
        <w:rPr>
          <w:rFonts w:ascii="Times New Roman" w:cs="Times New Roman" w:eastAsia="Times New Roman" w:hAnsi="Times New Roman"/>
          <w:sz w:val="21"/>
          <w:szCs w:val="21"/>
          <w:color w:val="auto"/>
        </w:rPr>
      </w:pPr>
    </w:p>
    <w:p>
      <w:pPr>
        <w:ind w:left="620" w:hanging="306"/>
        <w:spacing w:after="0" w:line="260" w:lineRule="auto"/>
        <w:tabs>
          <w:tab w:leader="none" w:pos="61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believes that it is imperative to provide the Covered Person with certain benefits following a Change of Control and certain severance benefits upon the Covered Person’s termination of employment following a Change in Control.</w:t>
      </w:r>
    </w:p>
    <w:p>
      <w:pPr>
        <w:spacing w:after="0" w:line="175" w:lineRule="exact"/>
        <w:rPr>
          <w:rFonts w:ascii="Times New Roman" w:cs="Times New Roman" w:eastAsia="Times New Roman" w:hAnsi="Times New Roman"/>
          <w:sz w:val="21"/>
          <w:szCs w:val="21"/>
          <w:color w:val="auto"/>
        </w:rPr>
      </w:pPr>
    </w:p>
    <w:p>
      <w:pPr>
        <w:ind w:left="620" w:hanging="306"/>
        <w:spacing w:after="0" w:line="260" w:lineRule="auto"/>
        <w:tabs>
          <w:tab w:leader="none" w:pos="61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accomplish the foregoing objectives, the Board has directed the Company, upon execution of the Agreement by the Covered Person, to commit to the terms provided herein.</w:t>
      </w:r>
    </w:p>
    <w:p>
      <w:pPr>
        <w:spacing w:after="0" w:line="175" w:lineRule="exact"/>
        <w:rPr>
          <w:rFonts w:ascii="Times New Roman" w:cs="Times New Roman" w:eastAsia="Times New Roman" w:hAnsi="Times New Roman"/>
          <w:sz w:val="21"/>
          <w:szCs w:val="21"/>
          <w:color w:val="auto"/>
        </w:rPr>
      </w:pPr>
    </w:p>
    <w:p>
      <w:pPr>
        <w:ind w:left="620" w:hanging="306"/>
        <w:spacing w:after="0"/>
        <w:tabs>
          <w:tab w:leader="none" w:pos="6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Covered Party accepts the terms of the Agreement.</w:t>
      </w:r>
    </w:p>
    <w:p>
      <w:pPr>
        <w:spacing w:after="0" w:line="224" w:lineRule="exact"/>
        <w:rPr>
          <w:rFonts w:ascii="Times New Roman" w:cs="Times New Roman" w:eastAsia="Times New Roman" w:hAnsi="Times New Roman"/>
          <w:sz w:val="21"/>
          <w:szCs w:val="21"/>
          <w:color w:val="auto"/>
        </w:rPr>
      </w:pPr>
    </w:p>
    <w:p>
      <w:pPr>
        <w:jc w:val="both"/>
        <w:ind w:left="620" w:hanging="306"/>
        <w:spacing w:after="0" w:line="245" w:lineRule="auto"/>
        <w:tabs>
          <w:tab w:leader="none" w:pos="60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 capitalized terms used in this Agreement are defined in Section 4 below. In consideration of the mutual covenants herein contained and in consideration of the continuing employment of the Covered Person by the Company, the parties agree as follows:</w:t>
      </w:r>
    </w:p>
    <w:p>
      <w:pPr>
        <w:sectPr>
          <w:pgSz w:w="11900" w:h="16838" w:orient="portrait"/>
          <w:cols w:equalWidth="0" w:num="1">
            <w:col w:w="11240"/>
          </w:cols>
          <w:pgMar w:left="320" w:top="1361" w:right="339" w:bottom="1440" w:gutter="0" w:footer="0" w:header="0"/>
        </w:sectPr>
      </w:pPr>
    </w:p>
    <w:bookmarkStart w:id="86" w:name="page87"/>
    <w:bookmarkEnd w:id="86"/>
    <w:p>
      <w:pPr>
        <w:jc w:val="both"/>
        <w:ind w:left="306" w:hanging="306"/>
        <w:spacing w:after="0" w:line="249" w:lineRule="auto"/>
        <w:tabs>
          <w:tab w:leader="none" w:pos="30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Scope; Term of Agreement</w:t>
      </w:r>
      <w:r>
        <w:rPr>
          <w:rFonts w:ascii="Times New Roman" w:cs="Times New Roman" w:eastAsia="Times New Roman" w:hAnsi="Times New Roman"/>
          <w:sz w:val="20"/>
          <w:szCs w:val="20"/>
          <w:color w:val="auto"/>
        </w:rPr>
        <w:t>. The Company and the Covered Person have entered into an Executive Employment Agreement (as amended, the "Employment Agreement"), which provides the Covered Person, in addition to other benefits set forth therein, with certain benefits in circumstances following a termination of employment other than following a Change of Control. This Agreement shall be applicable in the event an Involuntary Termination (as defined below) occurs upon or within twenty-four</w:t>
      </w:r>
    </w:p>
    <w:p>
      <w:pPr>
        <w:jc w:val="both"/>
        <w:ind w:left="306" w:firstLine="4"/>
        <w:spacing w:after="0" w:line="231" w:lineRule="auto"/>
        <w:tabs>
          <w:tab w:leader="none" w:pos="734"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following a Change of Control. The parties acknowledge that the Covered Person's employment is at will, as defined under applicable law, except as may otherwise be provided under the terms of the Employment Agreement. If the Covered Person's employment terminates for any reason, the Covered Person shall not be entitled to any payments, benefits, damages, awards or compensation (collectively, "recompense") other than the maximum recompense as provided by one of the following: (i) this Agreement, or (ii) the Employment Agreement, or (iii) the Company's existing severance guidelines and benefit plans which are in effect at the time of termination, or (iv) applicable statutory provisions. The provisions of this Agreement shall terminate upon the date that all obligations of the parties hereunder have been satisfied. A termination of the provisions of this Agreement pursuant to the preceding sentence shall be effective for all purposes, except that such termination shall not affect the payment or provision of compensation or benefits on account of termination of employment occurring prior to the termination of the provisions of this Agreement.</w:t>
      </w:r>
    </w:p>
    <w:p>
      <w:pPr>
        <w:spacing w:after="0" w:line="200" w:lineRule="exact"/>
        <w:rPr>
          <w:rFonts w:ascii="Times New Roman" w:cs="Times New Roman" w:eastAsia="Times New Roman" w:hAnsi="Times New Roman"/>
          <w:sz w:val="21"/>
          <w:szCs w:val="21"/>
          <w:color w:val="auto"/>
        </w:rPr>
      </w:pPr>
    </w:p>
    <w:p>
      <w:pPr>
        <w:ind w:left="306" w:hanging="306"/>
        <w:spacing w:after="0"/>
        <w:tabs>
          <w:tab w:leader="none" w:pos="30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 Immediately Following Change of Control</w:t>
      </w:r>
      <w:r>
        <w:rPr>
          <w:rFonts w:ascii="Times New Roman" w:cs="Times New Roman" w:eastAsia="Times New Roman" w:hAnsi="Times New Roman"/>
          <w:sz w:val="21"/>
          <w:szCs w:val="21"/>
          <w:color w:val="auto"/>
        </w:rPr>
        <w:t>.</w:t>
      </w:r>
    </w:p>
    <w:p>
      <w:pPr>
        <w:spacing w:after="0" w:line="224" w:lineRule="exact"/>
        <w:rPr>
          <w:rFonts w:ascii="Times New Roman" w:cs="Times New Roman" w:eastAsia="Times New Roman" w:hAnsi="Times New Roman"/>
          <w:sz w:val="21"/>
          <w:szCs w:val="21"/>
          <w:color w:val="auto"/>
        </w:rPr>
      </w:pPr>
    </w:p>
    <w:p>
      <w:pPr>
        <w:jc w:val="both"/>
        <w:ind w:left="926" w:hanging="305"/>
        <w:spacing w:after="0" w:line="246" w:lineRule="auto"/>
        <w:tabs>
          <w:tab w:leader="none" w:pos="914"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Outstanding Options and Restricted Equity</w:t>
      </w:r>
      <w:r>
        <w:rPr>
          <w:rFonts w:ascii="Times New Roman" w:cs="Times New Roman" w:eastAsia="Times New Roman" w:hAnsi="Times New Roman"/>
          <w:sz w:val="20"/>
          <w:szCs w:val="20"/>
          <w:color w:val="auto"/>
        </w:rPr>
        <w:t>. Effective immediately upon a Change of Control, unless the outstanding stock options and shares of restricted equity held by the Covered Person under the Company's stock option plans on the date of the Change of Control are continued by the Company or assumed by its successor entity, all restricted stock units and stock options held by the Covered Person which were granted prior to the date of the Change of Control under the Company's stock option plans which would otherwise become fully vested, nonforfeitable and not subject to any restrictions during the one year period following the date of the Change of Control shall instead become fully vested, nonforfeitable and not subject to any restrictions as of the date of the Change of Control. Performance share units awarded under the Company's Long Term Incentive Plan ("LTIP") shall vest in accordance with the terms of the LTIP. If such outstanding options and shares of restricted equity held by the Covered Person are continued by the Company or assumed by its successor entity, then vesting shall continue in its usual course.</w:t>
      </w:r>
    </w:p>
    <w:p>
      <w:pPr>
        <w:spacing w:after="0" w:line="191" w:lineRule="exact"/>
        <w:rPr>
          <w:rFonts w:ascii="Times New Roman" w:cs="Times New Roman" w:eastAsia="Times New Roman" w:hAnsi="Times New Roman"/>
          <w:sz w:val="20"/>
          <w:szCs w:val="20"/>
          <w:color w:val="auto"/>
        </w:rPr>
      </w:pPr>
    </w:p>
    <w:p>
      <w:pPr>
        <w:jc w:val="both"/>
        <w:ind w:left="926" w:hanging="305"/>
        <w:spacing w:after="0" w:line="248" w:lineRule="auto"/>
        <w:tabs>
          <w:tab w:leader="none" w:pos="926"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Annual Bonus</w:t>
      </w:r>
      <w:r>
        <w:rPr>
          <w:rFonts w:ascii="Times New Roman" w:cs="Times New Roman" w:eastAsia="Times New Roman" w:hAnsi="Times New Roman"/>
          <w:sz w:val="20"/>
          <w:szCs w:val="20"/>
          <w:color w:val="auto"/>
        </w:rPr>
        <w:t>. Effective immediately upon a Change of Control, the Covered Person's annual cash bonus for the year in which the Change of Control occurs shall be fixed at the Covered Person's target bonus level as in effect immediately prior to the Change of Control and the Covered Person shall be paid a pro-rated portion of such bonus, as of the date of the Change of Control, based on the number of calendar days in the fiscal year to which the bonus relates which have elapsed prior to the date of the Change of Control. Any payment to which the Covered Person is entitled pursuant to this section shall be paid in a lump sum within thirty (30) days of the event requiring such payment.</w:t>
      </w:r>
    </w:p>
    <w:p>
      <w:pPr>
        <w:sectPr>
          <w:pgSz w:w="11900" w:h="16838" w:orient="portrait"/>
          <w:cols w:equalWidth="0" w:num="1">
            <w:col w:w="10926"/>
          </w:cols>
          <w:pgMar w:left="634" w:top="1354" w:right="339" w:bottom="1440" w:gutter="0" w:footer="0" w:header="0"/>
        </w:sectPr>
      </w:pPr>
    </w:p>
    <w:bookmarkStart w:id="87" w:name="page88"/>
    <w:bookmarkEnd w:id="87"/>
    <w:p>
      <w:pPr>
        <w:spacing w:after="0" w:line="147" w:lineRule="exact"/>
        <w:rPr>
          <w:sz w:val="20"/>
          <w:szCs w:val="20"/>
          <w:color w:val="auto"/>
        </w:rPr>
      </w:pPr>
    </w:p>
    <w:p>
      <w:pPr>
        <w:ind w:left="306" w:hanging="306"/>
        <w:spacing w:after="0"/>
        <w:tabs>
          <w:tab w:leader="none" w:pos="30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Benefits</w:t>
      </w:r>
      <w:r>
        <w:rPr>
          <w:rFonts w:ascii="Times New Roman" w:cs="Times New Roman" w:eastAsia="Times New Roman" w:hAnsi="Times New Roman"/>
          <w:sz w:val="21"/>
          <w:szCs w:val="21"/>
          <w:color w:val="auto"/>
        </w:rPr>
        <w:t>.</w:t>
      </w:r>
    </w:p>
    <w:p>
      <w:pPr>
        <w:spacing w:after="0" w:line="224" w:lineRule="exact"/>
        <w:rPr>
          <w:rFonts w:ascii="Times New Roman" w:cs="Times New Roman" w:eastAsia="Times New Roman" w:hAnsi="Times New Roman"/>
          <w:sz w:val="21"/>
          <w:szCs w:val="21"/>
          <w:color w:val="auto"/>
        </w:rPr>
      </w:pPr>
    </w:p>
    <w:p>
      <w:pPr>
        <w:ind w:left="926" w:hanging="311"/>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Termination Following a Change of Control</w:t>
      </w:r>
      <w:r>
        <w:rPr>
          <w:rFonts w:ascii="Times New Roman" w:cs="Times New Roman" w:eastAsia="Times New Roman" w:hAnsi="Times New Roman"/>
          <w:sz w:val="21"/>
          <w:szCs w:val="21"/>
          <w:color w:val="auto"/>
        </w:rPr>
        <w:t>. If the Covered Person's employment terminates after a Change of Control, then Covered Person shall be entitled to receive the Mandatory Payments described in Section 3(a)(ii) below and, subject to Section 5 below, the Covered Person shall be entitled to receive severance benefits as follows:</w:t>
      </w:r>
    </w:p>
    <w:p>
      <w:pPr>
        <w:spacing w:after="0" w:line="191" w:lineRule="exact"/>
        <w:rPr>
          <w:rFonts w:ascii="Times New Roman" w:cs="Times New Roman" w:eastAsia="Times New Roman" w:hAnsi="Times New Roman"/>
          <w:sz w:val="21"/>
          <w:szCs w:val="21"/>
          <w:color w:val="auto"/>
        </w:rPr>
      </w:pPr>
    </w:p>
    <w:p>
      <w:pPr>
        <w:jc w:val="both"/>
        <w:ind w:left="1546" w:hanging="304"/>
        <w:spacing w:after="0" w:line="231" w:lineRule="auto"/>
        <w:tabs>
          <w:tab w:leader="none" w:pos="1539"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Involuntary Termination</w:t>
      </w:r>
      <w:r>
        <w:rPr>
          <w:rFonts w:ascii="Times New Roman" w:cs="Times New Roman" w:eastAsia="Times New Roman" w:hAnsi="Times New Roman"/>
          <w:sz w:val="21"/>
          <w:szCs w:val="21"/>
          <w:color w:val="auto"/>
        </w:rPr>
        <w:t>. If the Covered Person's employment is terminated within twenty-four (24) months following a Change of Control as a result of Involuntary Termination, then the Covered Person shall be entitled to receive a lump sum severance payment in an amount equal to twenty four (24) months of the Covered Person's annual Target Compensation; and in addition, for a period of twenty-four (24) months after such termination, the Company shall be obligated to provide the Covered Person with benefits that are substantially equivalent to the Covered Person's benefits (medical, dental, vision and life insurance) that were in effect immediately prior to the Change of Control. In addition, all restricted stock units and stock options held by the Covered Person which were granted prior to the date of such termination under the Company's stock option plans shall become fully vested, nonforfeitable and not subject to any restrictions as of the date of such termination. Performance share units awarded under the LTIP shall vest in accordance with the terms of the LTIP. Any severance payments to which the Covered Person is entitled pursuant to this section shall be paid in a lump sum within thirty (30) days of the effective date of the Covered Person's termination. For purposes of this Paragraph 3(a)(i), the term "Target Compensation" shall mean the highest level of Target Compensation applicable to the Covered Person from the period of time immediately prior to the Change of Control through the effective date of the Covered Person's termination. With respect to any taxable income that the Covered Person is deemed to have received for federal income tax purposes by virtue of the Company providing continued employee benefits to the Covered Person (i.e. medical, dental, vision and life insurance), the Company shall make a cash payment to the Covered Person such that the net economic result to the Covered Person will be as if such benefits were provided on a tax-free basis to the same extent as would have been applicable had the Covered Person's employment not been terminated. Such cash payment shall be made no later than March 15 of the following calendar year in which such benefits are taxable to the Covered Person. Anything in this Agreement to the contrary notwithstanding, if at the time of the Covered Person's separation from service (within the meaning of Section 409A of the Internal Revenue Code of 1986, as amended (the "Code"), the Covered Person is considered a "specified employee" within the meaning of Section 409A(a)(2)(B)(i) of the Code, and if any payment that the Covered Person becomes entitled to under this Agreement is considered deferred compensation subject to interest and additional tax imposed pursuant to</w:t>
      </w:r>
    </w:p>
    <w:p>
      <w:pPr>
        <w:sectPr>
          <w:pgSz w:w="11900" w:h="16838" w:orient="portrait"/>
          <w:cols w:equalWidth="0" w:num="1">
            <w:col w:w="10926"/>
          </w:cols>
          <w:pgMar w:left="634" w:top="1440" w:right="339" w:bottom="1440" w:gutter="0" w:footer="0" w:header="0"/>
        </w:sectPr>
      </w:pPr>
    </w:p>
    <w:bookmarkStart w:id="88" w:name="page89"/>
    <w:bookmarkEnd w:id="88"/>
    <w:p>
      <w:pPr>
        <w:jc w:val="both"/>
        <w:ind w:left="740"/>
        <w:spacing w:after="0" w:line="234" w:lineRule="auto"/>
        <w:rPr>
          <w:sz w:val="20"/>
          <w:szCs w:val="20"/>
          <w:color w:val="auto"/>
        </w:rPr>
      </w:pPr>
      <w:r>
        <w:rPr>
          <w:rFonts w:ascii="Times New Roman" w:cs="Times New Roman" w:eastAsia="Times New Roman" w:hAnsi="Times New Roman"/>
          <w:sz w:val="21"/>
          <w:szCs w:val="21"/>
          <w:color w:val="auto"/>
        </w:rPr>
        <w:t>Section 409A(a) of the Code as a result of the application of Section 409A(a)(2)(B)(i) of the Code, then no such payment shall be payable prior to the date that is the earliest of (A) six months after the Covered Person's date of termination, (B) the Covered Person's death, or (C) such other date as will cause such payment not to be subject to such interest and additional tax. The parties agree that this Agreement may be amended, as reasonably requested by either party and as may be necessary to comply fully with Section 409A of the Code and all related rules and regulations in order to preserve the payments and benefits provided hereunder without additional cost to either party.</w:t>
      </w:r>
    </w:p>
    <w:p>
      <w:pPr>
        <w:spacing w:after="0" w:line="202" w:lineRule="exact"/>
        <w:rPr>
          <w:sz w:val="20"/>
          <w:szCs w:val="20"/>
          <w:color w:val="auto"/>
        </w:rPr>
      </w:pPr>
    </w:p>
    <w:p>
      <w:pPr>
        <w:jc w:val="both"/>
        <w:ind w:left="740" w:hanging="304"/>
        <w:spacing w:after="0"/>
        <w:tabs>
          <w:tab w:leader="none" w:pos="73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Resignation</w:t>
      </w:r>
      <w:r>
        <w:rPr>
          <w:rFonts w:ascii="Times New Roman" w:cs="Times New Roman" w:eastAsia="Times New Roman" w:hAnsi="Times New Roman"/>
          <w:sz w:val="21"/>
          <w:szCs w:val="21"/>
          <w:color w:val="auto"/>
        </w:rPr>
        <w:t>. If the Covered Person's employment terminates by reason of the Covered Person's voluntary resignation (and is not an Involuntary Termination), then the Covered Person shall not be entitled to receive any severance payments or other benefits except that Covered Person shall be entitled to the following (the "Mandatory Payments"):</w:t>
      </w:r>
    </w:p>
    <w:p>
      <w:pPr>
        <w:spacing w:after="0" w:line="198" w:lineRule="exact"/>
        <w:rPr>
          <w:sz w:val="20"/>
          <w:szCs w:val="20"/>
          <w:color w:val="auto"/>
        </w:rPr>
      </w:pPr>
    </w:p>
    <w:p>
      <w:pPr>
        <w:jc w:val="both"/>
        <w:ind w:left="1980" w:hanging="302"/>
        <w:spacing w:after="0" w:line="245" w:lineRule="auto"/>
        <w:tabs>
          <w:tab w:leader="none" w:pos="196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accrued but unpaid base salary through the date the Covered Person's employment is terminated, to be paid in a lump sum cash payment within thirty (30) days following the termination date or sooner if required by law;</w:t>
      </w:r>
    </w:p>
    <w:p>
      <w:pPr>
        <w:spacing w:after="0" w:line="192" w:lineRule="exact"/>
        <w:rPr>
          <w:sz w:val="20"/>
          <w:szCs w:val="20"/>
          <w:color w:val="auto"/>
        </w:rPr>
      </w:pPr>
    </w:p>
    <w:p>
      <w:pPr>
        <w:jc w:val="both"/>
        <w:ind w:left="1980" w:hanging="302"/>
        <w:spacing w:after="0" w:line="245" w:lineRule="auto"/>
        <w:tabs>
          <w:tab w:leader="none" w:pos="19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 for any vacation time earned but not used through the termination date, to be paid in a lump sum cash payment within thirty (30) days following the termination date or sooner if required by law;</w:t>
      </w:r>
    </w:p>
    <w:p>
      <w:pPr>
        <w:spacing w:after="0" w:line="179" w:lineRule="exact"/>
        <w:rPr>
          <w:sz w:val="20"/>
          <w:szCs w:val="20"/>
          <w:color w:val="auto"/>
        </w:rPr>
      </w:pPr>
    </w:p>
    <w:p>
      <w:pPr>
        <w:jc w:val="both"/>
        <w:ind w:left="1980" w:hanging="302"/>
        <w:spacing w:after="0" w:line="238" w:lineRule="auto"/>
        <w:tabs>
          <w:tab w:leader="none" w:pos="196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that the Covered Person's employment is terminated for Cause, any bonus compensation awarded for the fiscal year preceding that in which the termination occurs, but unpaid on the termination date, to be paid and provided in accordance with the Board's standard policies for paying executive incentive compensation, but in no event later than sixty (60) days after the end of such fiscal year to which the bonus relates;</w:t>
      </w:r>
    </w:p>
    <w:p>
      <w:pPr>
        <w:spacing w:after="0" w:line="200" w:lineRule="exact"/>
        <w:rPr>
          <w:sz w:val="20"/>
          <w:szCs w:val="20"/>
          <w:color w:val="auto"/>
        </w:rPr>
      </w:pPr>
    </w:p>
    <w:p>
      <w:pPr>
        <w:jc w:val="both"/>
        <w:ind w:left="1980" w:hanging="302"/>
        <w:spacing w:after="0"/>
        <w:tabs>
          <w:tab w:leader="none" w:pos="19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unpaid or unreimbursed business expenses incurred and documented in accordance with the Company's expense reimbursement policy then in effect by the Covered Person, to the extent incurred during the term of the Covered Person's employment, to be paid in a lump sum cash payment within thirty (30) days following the termination date; and</w:t>
      </w:r>
    </w:p>
    <w:p>
      <w:pPr>
        <w:spacing w:after="0" w:line="198" w:lineRule="exact"/>
        <w:rPr>
          <w:sz w:val="20"/>
          <w:szCs w:val="20"/>
          <w:color w:val="auto"/>
        </w:rPr>
      </w:pPr>
    </w:p>
    <w:p>
      <w:pPr>
        <w:ind w:left="1980" w:hanging="302"/>
        <w:spacing w:after="0" w:line="247" w:lineRule="auto"/>
        <w:tabs>
          <w:tab w:leader="none" w:pos="196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accrued but unpaid benefits provided under the Company's employee benefit plans, to be paid and provided in accordance with the terms of the applicable plan.</w:t>
      </w:r>
    </w:p>
    <w:p>
      <w:pPr>
        <w:sectPr>
          <w:pgSz w:w="11900" w:h="16838" w:orient="portrait"/>
          <w:cols w:equalWidth="0" w:num="1">
            <w:col w:w="10120"/>
          </w:cols>
          <w:pgMar w:left="1440" w:top="1354" w:right="339" w:bottom="1440" w:gutter="0" w:footer="0" w:header="0"/>
        </w:sectPr>
      </w:pPr>
    </w:p>
    <w:bookmarkStart w:id="89" w:name="page90"/>
    <w:bookmarkEnd w:id="89"/>
    <w:p>
      <w:pPr>
        <w:jc w:val="both"/>
        <w:ind w:left="1546" w:hanging="304"/>
        <w:spacing w:after="0" w:line="238" w:lineRule="auto"/>
        <w:tabs>
          <w:tab w:leader="none" w:pos="1537" w:val="left"/>
        </w:tabs>
        <w:numPr>
          <w:ilvl w:val="3"/>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 Death</w:t>
      </w:r>
      <w:r>
        <w:rPr>
          <w:rFonts w:ascii="Times New Roman" w:cs="Times New Roman" w:eastAsia="Times New Roman" w:hAnsi="Times New Roman"/>
          <w:sz w:val="21"/>
          <w:szCs w:val="21"/>
          <w:color w:val="auto"/>
        </w:rPr>
        <w:t>. If the Company terminates the Covered Person's employment as a result of the Covered Person's Disability (as defined below), or such Covered Person's employment is terminated due to the death of the Covered Person, then the Covered Person shall not be entitled to receive any severance payments or other benefits, other than the Mandatory Payments or those (if any) as may then be established under the Company's then existing severance guidelines and benefit plans at the time of such Disability or death.</w:t>
      </w:r>
    </w:p>
    <w:p>
      <w:pPr>
        <w:spacing w:after="0" w:line="199" w:lineRule="exact"/>
        <w:rPr>
          <w:rFonts w:ascii="Times New Roman" w:cs="Times New Roman" w:eastAsia="Times New Roman" w:hAnsi="Times New Roman"/>
          <w:sz w:val="21"/>
          <w:szCs w:val="21"/>
          <w:color w:val="auto"/>
        </w:rPr>
      </w:pPr>
    </w:p>
    <w:p>
      <w:pPr>
        <w:jc w:val="both"/>
        <w:ind w:left="1546" w:hanging="304"/>
        <w:spacing w:after="0" w:line="235" w:lineRule="auto"/>
        <w:tabs>
          <w:tab w:leader="none" w:pos="1525" w:val="left"/>
        </w:tabs>
        <w:numPr>
          <w:ilvl w:val="3"/>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If the Company terminates the Covered Person' employment for Cause (as defined below), then the Covered Person shall not be entitled to receive any severance payments, bonus payments or other benefits following the date of such termination, other than the Mandatory Payments (excluding amounts under (ii)(c) above), and the Company shall have no obligation to provide for the continuation of any health and medical benefit or life insurance plans existing on the date of such termination, other than as specifically required by applicable law.</w:t>
      </w:r>
    </w:p>
    <w:p>
      <w:pPr>
        <w:spacing w:after="0" w:line="198" w:lineRule="exact"/>
        <w:rPr>
          <w:rFonts w:ascii="Times New Roman" w:cs="Times New Roman" w:eastAsia="Times New Roman" w:hAnsi="Times New Roman"/>
          <w:sz w:val="21"/>
          <w:szCs w:val="21"/>
          <w:color w:val="auto"/>
        </w:rPr>
      </w:pPr>
    </w:p>
    <w:p>
      <w:pPr>
        <w:jc w:val="both"/>
        <w:ind w:left="926" w:hanging="305"/>
        <w:spacing w:after="0"/>
        <w:tabs>
          <w:tab w:leader="none" w:pos="926"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Other than in Connection with a Change of Control</w:t>
      </w:r>
      <w:r>
        <w:rPr>
          <w:rFonts w:ascii="Times New Roman" w:cs="Times New Roman" w:eastAsia="Times New Roman" w:hAnsi="Times New Roman"/>
          <w:sz w:val="21"/>
          <w:szCs w:val="21"/>
          <w:color w:val="auto"/>
        </w:rPr>
        <w:t>. If the Covered Person's employment is terminated for any reason either prior to the occurrence of a Change of Control or after the twenty-four (24) month period following a Change of Control, then the Covered Person shall be entitled to receive severance and any other benefits provided under the Employment Agreement.</w:t>
      </w:r>
    </w:p>
    <w:p>
      <w:pPr>
        <w:spacing w:after="0" w:line="198" w:lineRule="exact"/>
        <w:rPr>
          <w:rFonts w:ascii="Times New Roman" w:cs="Times New Roman" w:eastAsia="Times New Roman" w:hAnsi="Times New Roman"/>
          <w:sz w:val="21"/>
          <w:szCs w:val="21"/>
          <w:color w:val="auto"/>
        </w:rPr>
      </w:pPr>
    </w:p>
    <w:p>
      <w:pPr>
        <w:ind w:left="306" w:hanging="306"/>
        <w:spacing w:after="0"/>
        <w:tabs>
          <w:tab w:leader="none" w:pos="30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 of Terms</w:t>
      </w:r>
      <w:r>
        <w:rPr>
          <w:rFonts w:ascii="Times New Roman" w:cs="Times New Roman" w:eastAsia="Times New Roman" w:hAnsi="Times New Roman"/>
          <w:sz w:val="21"/>
          <w:szCs w:val="21"/>
          <w:color w:val="auto"/>
        </w:rPr>
        <w:t>. The following terms referred to in this Agreement shall have the following meanings:</w:t>
      </w:r>
    </w:p>
    <w:p>
      <w:pPr>
        <w:spacing w:after="0" w:line="224" w:lineRule="exact"/>
        <w:rPr>
          <w:rFonts w:ascii="Times New Roman" w:cs="Times New Roman" w:eastAsia="Times New Roman" w:hAnsi="Times New Roman"/>
          <w:sz w:val="21"/>
          <w:szCs w:val="21"/>
          <w:color w:val="auto"/>
        </w:rPr>
      </w:pPr>
    </w:p>
    <w:p>
      <w:pPr>
        <w:ind w:left="926" w:hanging="305"/>
        <w:spacing w:after="0"/>
        <w:tabs>
          <w:tab w:leader="none" w:pos="926"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"Change of Control" shall mean the occurrence of any of the following events:</w:t>
      </w:r>
    </w:p>
    <w:p>
      <w:pPr>
        <w:spacing w:after="0" w:line="211" w:lineRule="exact"/>
        <w:rPr>
          <w:rFonts w:ascii="Times New Roman" w:cs="Times New Roman" w:eastAsia="Times New Roman" w:hAnsi="Times New Roman"/>
          <w:sz w:val="21"/>
          <w:szCs w:val="21"/>
          <w:color w:val="auto"/>
        </w:rPr>
      </w:pPr>
    </w:p>
    <w:p>
      <w:pPr>
        <w:jc w:val="both"/>
        <w:ind w:left="1546" w:hanging="413"/>
        <w:spacing w:after="0"/>
        <w:tabs>
          <w:tab w:leader="none" w:pos="1546"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(as such term is used in Sections 13(d) and 14(d) of the Securities Exchange Act of 1934, as amended) is or becomes the "beneficial owner" (as defined in Rule 13d-3 under said Act), directly or indirectly, of securities of the Company representing fifty percent (50%) or more of the total voting power represented by the Company’s then outstanding voting securities, whether by tender offer, or otherwise; or</w:t>
      </w:r>
    </w:p>
    <w:p>
      <w:pPr>
        <w:spacing w:after="0" w:line="198" w:lineRule="exact"/>
        <w:rPr>
          <w:rFonts w:ascii="Times New Roman" w:cs="Times New Roman" w:eastAsia="Times New Roman" w:hAnsi="Times New Roman"/>
          <w:sz w:val="21"/>
          <w:szCs w:val="21"/>
          <w:color w:val="auto"/>
        </w:rPr>
      </w:pPr>
    </w:p>
    <w:p>
      <w:pPr>
        <w:jc w:val="both"/>
        <w:ind w:left="1546" w:hanging="471"/>
        <w:spacing w:after="0" w:line="245" w:lineRule="auto"/>
        <w:tabs>
          <w:tab w:leader="none" w:pos="1546"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majority of the members of the Board are replaced during any twelve (12) month period by directors whose appointment or election is not endorsed by a majority of the members of the Board before the date of such appointment or election; or</w:t>
      </w:r>
    </w:p>
    <w:p>
      <w:pPr>
        <w:sectPr>
          <w:pgSz w:w="11900" w:h="16838" w:orient="portrait"/>
          <w:cols w:equalWidth="0" w:num="1">
            <w:col w:w="10926"/>
          </w:cols>
          <w:pgMar w:left="634" w:top="1354" w:right="339" w:bottom="1440" w:gutter="0" w:footer="0" w:header="0"/>
        </w:sectPr>
      </w:pPr>
    </w:p>
    <w:bookmarkStart w:id="90" w:name="page91"/>
    <w:bookmarkEnd w:id="90"/>
    <w:p>
      <w:pPr>
        <w:jc w:val="both"/>
        <w:ind w:left="925" w:hanging="528"/>
        <w:spacing w:after="0" w:line="233" w:lineRule="auto"/>
        <w:tabs>
          <w:tab w:leader="none" w:pos="92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or consolidation of the Company with any other entity, other than (A)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 or (B) a merger or consolidation which would result in the voting securities of the Company outstanding immediately prior thereto representing less than 50% of the total voting power represented by the voting securities of the Company or such surviving entity outstanding immediately after such merger or consolidation; but the Company is clearly the acquirer considering the totality of the circumstances, including such factors as whether the president of the Company will continue as president of the Company or the surviving entity, the majority of the directors of the Company or the surviving entity will be incumbent directors, substantially all of the executive officers of the Company will be retained, etc., all as determined immediately prior to the consummation of the merger or consolidation by the incumbent directors.</w:t>
      </w:r>
    </w:p>
    <w:p>
      <w:pPr>
        <w:spacing w:after="0" w:line="199" w:lineRule="exact"/>
        <w:rPr>
          <w:sz w:val="20"/>
          <w:szCs w:val="20"/>
          <w:color w:val="auto"/>
        </w:rPr>
      </w:pPr>
    </w:p>
    <w:p>
      <w:pPr>
        <w:ind w:left="925" w:hanging="517"/>
        <w:spacing w:after="0"/>
        <w:tabs>
          <w:tab w:leader="none" w:pos="925"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or disposition by the Company of all or substantially all of the Company's assets.</w:t>
      </w:r>
    </w:p>
    <w:p>
      <w:pPr>
        <w:spacing w:after="0" w:line="224" w:lineRule="exact"/>
        <w:rPr>
          <w:rFonts w:ascii="Times New Roman" w:cs="Times New Roman" w:eastAsia="Times New Roman" w:hAnsi="Times New Roman"/>
          <w:sz w:val="21"/>
          <w:szCs w:val="21"/>
          <w:color w:val="auto"/>
        </w:rPr>
      </w:pPr>
    </w:p>
    <w:p>
      <w:pPr>
        <w:jc w:val="both"/>
        <w:ind w:left="305" w:hanging="305"/>
        <w:spacing w:after="0" w:line="232" w:lineRule="auto"/>
        <w:tabs>
          <w:tab w:leader="none" w:pos="30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Involuntary Termination</w:t>
      </w:r>
      <w:r>
        <w:rPr>
          <w:rFonts w:ascii="Times New Roman" w:cs="Times New Roman" w:eastAsia="Times New Roman" w:hAnsi="Times New Roman"/>
          <w:sz w:val="21"/>
          <w:szCs w:val="21"/>
          <w:color w:val="auto"/>
        </w:rPr>
        <w:t>. "Involuntary Termination" shall mean (i) without the Covered Person's express written consent, the assignment to the Covered Person of any duties or the significant reduction of the Covered Person's duties, either of which is materially inconsistent with the Covered Person's position with the Company and responsibilities in effect immediately prior to such assignment, or the removal of the Covered Person from such position and responsibilities, which is not effected for Disability or for Cause (for the avoidance of doubt, a material diminution in responsibilities will be deemed to have occurred if either (A) the Covered Person ceases to hold the position and title of Chief Executive Officer of the Company (or any successor entity) and its ultimate parent or (B) the failure of the Covered Person to be nominated or elected as a member of the Board (or the Board of Directors of any successor entity) and the Board of Directors of the Company's (or its successor's) ultimate parent); (ii) a material reduction by the Company in the base salary and/or bonus of the Covered Person as in effect immediately prior to such reduction; (iii) a material reduction by the Company in the kind or level of employee benefits to which the Covered Person is entitled immediately prior to such reduction with the result that the Covered Person's overall benefit package is significantly reduced; (iv) the relocation of the Covered Person to a facility or a location more than fifty (50) miles from the Covered Person's then present location, without the Covered Person's express written consent; (v) any purported termination of the Covered Person by the Company which is not effected for death or Disability or for Cause, or any purported termination for Cause for which the grounds relied upon are not valid; (vi) the failure of the Company to obtain, on or before the Change of Control, the</w:t>
      </w:r>
    </w:p>
    <w:p>
      <w:pPr>
        <w:sectPr>
          <w:pgSz w:w="11900" w:h="16838" w:orient="portrait"/>
          <w:cols w:equalWidth="0" w:num="1">
            <w:col w:w="10305"/>
          </w:cols>
          <w:pgMar w:left="1255" w:top="1354" w:right="339" w:bottom="1440" w:gutter="0" w:footer="0" w:header="0"/>
        </w:sectPr>
      </w:pPr>
    </w:p>
    <w:bookmarkStart w:id="91" w:name="page92"/>
    <w:bookmarkEnd w:id="91"/>
    <w:p>
      <w:pPr>
        <w:jc w:val="both"/>
        <w:ind w:left="926"/>
        <w:spacing w:after="0" w:line="245" w:lineRule="auto"/>
        <w:rPr>
          <w:sz w:val="20"/>
          <w:szCs w:val="20"/>
          <w:color w:val="auto"/>
        </w:rPr>
      </w:pPr>
      <w:r>
        <w:rPr>
          <w:rFonts w:ascii="Times New Roman" w:cs="Times New Roman" w:eastAsia="Times New Roman" w:hAnsi="Times New Roman"/>
          <w:sz w:val="21"/>
          <w:szCs w:val="21"/>
          <w:color w:val="auto"/>
        </w:rPr>
        <w:t>assumption of the terms of this Agreement by any successors contemplated in Section 7 below; or (vii) a material breach of this Agreement by the Company. An Involuntary Termination shall be effective upon written notice by the Covered Person.</w:t>
      </w:r>
    </w:p>
    <w:p>
      <w:pPr>
        <w:spacing w:after="0" w:line="192" w:lineRule="exact"/>
        <w:rPr>
          <w:sz w:val="20"/>
          <w:szCs w:val="20"/>
          <w:color w:val="auto"/>
        </w:rPr>
      </w:pPr>
    </w:p>
    <w:p>
      <w:pPr>
        <w:jc w:val="both"/>
        <w:ind w:left="926" w:hanging="305"/>
        <w:spacing w:after="0" w:line="234" w:lineRule="auto"/>
        <w:tabs>
          <w:tab w:leader="none" w:pos="914"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"Cause" shall mean (i) any act of personal dishonesty taken by the Covered Person in connection with his or her responsibilities as an employee and intended to result in substantial personal enrichment of the Covered Person, (ii) the conviction of a felony, (iii) a willful act by the Covered Person which constitutes gross misconduct and which is injurious to the Company, (iv) material breach of a material provision of this Agreement or of the Proprietary Information Agreement (which is not cured within 30 days following notice) or (v) continued violations by the Covered Person of the Covered Person's obligations as an employee of the Company which are demonstrably willful and deliberate on the Covered Person's part after there has been delivered to the Covered Person a written demand for performance from the Company which describes the basis for the Company's belief that the Covered Person has not substantially performed his or her duties (which is not cured within 30 days following notice).</w:t>
      </w:r>
    </w:p>
    <w:p>
      <w:pPr>
        <w:spacing w:after="0" w:line="196" w:lineRule="exact"/>
        <w:rPr>
          <w:rFonts w:ascii="Times New Roman" w:cs="Times New Roman" w:eastAsia="Times New Roman" w:hAnsi="Times New Roman"/>
          <w:sz w:val="21"/>
          <w:szCs w:val="21"/>
          <w:color w:val="auto"/>
        </w:rPr>
      </w:pPr>
    </w:p>
    <w:p>
      <w:pPr>
        <w:jc w:val="both"/>
        <w:ind w:left="926" w:hanging="305"/>
        <w:spacing w:after="0" w:line="234" w:lineRule="auto"/>
        <w:tabs>
          <w:tab w:leader="none" w:pos="926"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"Disability" shall mean that the Covered Person has been unable to perform his or her duties as an employee of the Company as the result of incapacity due to physical or mental illness, and such inability, at least twenty-six (26) weeks after its commencement, is determined to be total and permanent by a physician selected by the Company or its insurers and acceptable to the Covered Person or the Covered Person's legal representative (such agreement as to acceptability not to be unreasonably withheld). Termination resulting from Disability may only be effected after at least thirty (30) days' written notice by the Company of its intention to terminate the Covered Person's employment. In the event that the Covered Person resumes the performance of substantially all of his or her duties as an employee of the Company before termination of his or her employment becomes effective, the notice of intent to terminate shall automatically be deemed to have been revoked.</w:t>
      </w:r>
    </w:p>
    <w:p>
      <w:pPr>
        <w:spacing w:after="0" w:line="196" w:lineRule="exact"/>
        <w:rPr>
          <w:rFonts w:ascii="Times New Roman" w:cs="Times New Roman" w:eastAsia="Times New Roman" w:hAnsi="Times New Roman"/>
          <w:sz w:val="21"/>
          <w:szCs w:val="21"/>
          <w:color w:val="auto"/>
        </w:rPr>
      </w:pPr>
    </w:p>
    <w:p>
      <w:pPr>
        <w:ind w:left="926" w:hanging="305"/>
        <w:spacing w:after="0" w:line="260" w:lineRule="auto"/>
        <w:tabs>
          <w:tab w:leader="none" w:pos="914"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Target Compensation</w:t>
      </w:r>
      <w:r>
        <w:rPr>
          <w:rFonts w:ascii="Times New Roman" w:cs="Times New Roman" w:eastAsia="Times New Roman" w:hAnsi="Times New Roman"/>
          <w:sz w:val="21"/>
          <w:szCs w:val="21"/>
          <w:color w:val="auto"/>
        </w:rPr>
        <w:t>. "Target Compensation" shall mean the total of all fixed and variable cash compensation due to a Covered Person based upon one hundred percent (100%) attainment of performance levels.</w:t>
      </w:r>
    </w:p>
    <w:p>
      <w:pPr>
        <w:spacing w:after="0" w:line="175" w:lineRule="exact"/>
        <w:rPr>
          <w:rFonts w:ascii="Times New Roman" w:cs="Times New Roman" w:eastAsia="Times New Roman" w:hAnsi="Times New Roman"/>
          <w:sz w:val="21"/>
          <w:szCs w:val="21"/>
          <w:color w:val="auto"/>
        </w:rPr>
      </w:pPr>
    </w:p>
    <w:p>
      <w:pPr>
        <w:jc w:val="both"/>
        <w:ind w:left="306" w:hanging="306"/>
        <w:spacing w:after="0"/>
        <w:tabs>
          <w:tab w:leader="none" w:pos="30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on Payments</w:t>
      </w:r>
      <w:r>
        <w:rPr>
          <w:rFonts w:ascii="Times New Roman" w:cs="Times New Roman" w:eastAsia="Times New Roman" w:hAnsi="Times New Roman"/>
          <w:sz w:val="21"/>
          <w:szCs w:val="21"/>
          <w:color w:val="auto"/>
        </w:rPr>
        <w:t>. In the event that the severance and other benefits provided for in this Agreement or otherwise payable to the Covered Person (i) constitute "parachute payments" within the meaning of Section 280G of the Code and (ii) but for this Section 5, would be subject to the excise tax imposed by Section 4999 of the Code (the "Excise Tax"), then the Covered Person's severance benefits under Section 3(a)(i) shall be either</w:t>
      </w:r>
    </w:p>
    <w:p>
      <w:pPr>
        <w:spacing w:after="0" w:line="185" w:lineRule="exact"/>
        <w:rPr>
          <w:rFonts w:ascii="Times New Roman" w:cs="Times New Roman" w:eastAsia="Times New Roman" w:hAnsi="Times New Roman"/>
          <w:sz w:val="21"/>
          <w:szCs w:val="21"/>
          <w:color w:val="auto"/>
        </w:rPr>
      </w:pPr>
    </w:p>
    <w:p>
      <w:pPr>
        <w:ind w:left="2166" w:hanging="303"/>
        <w:spacing w:after="0"/>
        <w:tabs>
          <w:tab w:leader="none" w:pos="2166" w:val="left"/>
        </w:tabs>
        <w:numPr>
          <w:ilvl w:val="2"/>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delivered in full, or</w:t>
      </w:r>
    </w:p>
    <w:p>
      <w:pPr>
        <w:sectPr>
          <w:pgSz w:w="11900" w:h="16838" w:orient="portrait"/>
          <w:cols w:equalWidth="0" w:num="1">
            <w:col w:w="10926"/>
          </w:cols>
          <w:pgMar w:left="634" w:top="1354" w:right="339" w:bottom="1440" w:gutter="0" w:footer="0" w:header="0"/>
        </w:sectPr>
      </w:pPr>
    </w:p>
    <w:bookmarkStart w:id="92" w:name="page93"/>
    <w:bookmarkEnd w:id="92"/>
    <w:p>
      <w:pPr>
        <w:jc w:val="both"/>
        <w:ind w:left="1546" w:firstLine="317"/>
        <w:spacing w:after="0" w:line="231" w:lineRule="auto"/>
        <w:tabs>
          <w:tab w:leader="none" w:pos="216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delivered as to such lesser extent which would result in no portion of such severance benefits subject to the Excise Tax, whichever of the foregoing amounts, taking into account the applicable federal, state and local income taxes and the Excise Tax, results in the receipt by the Covered Person on an after tax basis, of the greatest amount of severance payments and benefits, notwithstanding that all or some portion of such severance payments and benefits may be taxable under Section 4999 of the Code. Unless the Company and the Covered Person otherwise agree in writing, any determination required under this Section 5 shall be made in writing in good faith by the accounting firm serving as the Company's independent public accountants immediately prior to the Change of Control (the "Accountants") in good faith consultation with the Covered Person. In the event of a reduction in benefits hereunder, unless the Covered Person provides direction otherwise (which alternative direction shall be subject to the Company's consent, which shall not be unreasonably withheld), such benefits shall be reduced in the following order: (a) cash payments not subject to Section 409A of the Code; (b) cash payments subject to Section 409A of the Code; (c) equity compensation; and (d) non-cash forms of benefit. To the extent any payment is to be made over time, then the payment shall be reduced in reverse chronological order. For purposes of making the calculations required by this Section 5, the Accountants, in consultation with the Covered Person, may make reasonable assumptions and approximations concerning the applicable taxes and may rely on reasonable good faith interpretations concerning the application of Sections 280G and 4999 of the Code. The Company and the Covered Person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 5.</w:t>
      </w:r>
    </w:p>
    <w:p>
      <w:pPr>
        <w:spacing w:after="0" w:line="215" w:lineRule="exact"/>
        <w:rPr>
          <w:rFonts w:ascii="Times New Roman" w:cs="Times New Roman" w:eastAsia="Times New Roman" w:hAnsi="Times New Roman"/>
          <w:sz w:val="21"/>
          <w:szCs w:val="21"/>
          <w:color w:val="auto"/>
        </w:rPr>
      </w:pPr>
    </w:p>
    <w:p>
      <w:pPr>
        <w:jc w:val="both"/>
        <w:ind w:left="306" w:hanging="306"/>
        <w:spacing w:after="0" w:line="233" w:lineRule="auto"/>
        <w:tabs>
          <w:tab w:leader="none" w:pos="30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Remedy</w:t>
      </w:r>
      <w:r>
        <w:rPr>
          <w:rFonts w:ascii="Times New Roman" w:cs="Times New Roman" w:eastAsia="Times New Roman" w:hAnsi="Times New Roman"/>
          <w:sz w:val="21"/>
          <w:szCs w:val="21"/>
          <w:color w:val="auto"/>
        </w:rPr>
        <w:t>. If Covered Person's benefits are reduced to avoid the Excise Tax pursuant to Section 5 hereof and notwithstanding such reduction, the IRS determines that the Covered Person is liable for the Excise Tax as a result of the receipt of severance benefits from the Company, then Covered Person shall be obligated to pay to the Company (the "Repayment Obligation") an amount of money equal to the "Repayment Amount." The Repayment Amount shall be the smallest such amount, if any, as shall be required to be paid to the Company so that the Covered Person's net proceeds with respect to his or her severance benefits hereunder (after taking into account the payment of the Excise Tax imposed on such benefits) shall be maximized. Notwithstanding the foregoing, the Repayment Amount shall be zero if a Repayment Amount of more than zero would not eliminate the Excise Tax. If the Excise Tax is not eliminated through the performance of the Repayment Obligation, the Covered Person shall pay the Excise Tax. The Repayment Obligation shall be discharged within thirty (30) days of either (i) the Covered Person entering into a binding agreement with the IRS as to the amount of Excise Tax liability, or (ii) a final determination by the IRS or a court decision requiring the Covered Person to pay the Excise Tax from which no appeal is available or is timely taken.</w:t>
      </w:r>
    </w:p>
    <w:p>
      <w:pPr>
        <w:sectPr>
          <w:pgSz w:w="11900" w:h="16838" w:orient="portrait"/>
          <w:cols w:equalWidth="0" w:num="1">
            <w:col w:w="10926"/>
          </w:cols>
          <w:pgMar w:left="634" w:top="1354" w:right="339" w:bottom="1440" w:gutter="0" w:footer="0" w:header="0"/>
        </w:sectPr>
      </w:pPr>
    </w:p>
    <w:bookmarkStart w:id="93" w:name="page94"/>
    <w:bookmarkEnd w:id="93"/>
    <w:p>
      <w:pPr>
        <w:ind w:left="306" w:hanging="306"/>
        <w:spacing w:after="0"/>
        <w:tabs>
          <w:tab w:leader="none" w:pos="30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w:t>
      </w:r>
    </w:p>
    <w:p>
      <w:pPr>
        <w:spacing w:after="0" w:line="224" w:lineRule="exact"/>
        <w:rPr>
          <w:rFonts w:ascii="Times New Roman" w:cs="Times New Roman" w:eastAsia="Times New Roman" w:hAnsi="Times New Roman"/>
          <w:sz w:val="21"/>
          <w:szCs w:val="21"/>
          <w:color w:val="auto"/>
        </w:rPr>
      </w:pPr>
    </w:p>
    <w:p>
      <w:pPr>
        <w:jc w:val="both"/>
        <w:ind w:left="926" w:hanging="305"/>
        <w:spacing w:after="0" w:line="234" w:lineRule="auto"/>
        <w:tabs>
          <w:tab w:leader="none" w:pos="91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Company's Successors</w:t>
      </w:r>
      <w:r>
        <w:rPr>
          <w:rFonts w:ascii="Times New Roman" w:cs="Times New Roman" w:eastAsia="Times New Roman" w:hAnsi="Times New Roman"/>
          <w:sz w:val="21"/>
          <w:szCs w:val="21"/>
          <w:color w:val="auto"/>
        </w:rPr>
        <w:t>. Any successor to the Company (whether direct or indirect and whether by purchase, lease, merger, consolidation, liquidation or otherwise) or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an assumption agreement described in this subsection (a) or which becomes bound by the terms of this Agreement by operation of law.</w:t>
      </w:r>
    </w:p>
    <w:p>
      <w:pPr>
        <w:spacing w:after="0" w:line="201" w:lineRule="exact"/>
        <w:rPr>
          <w:rFonts w:ascii="Times New Roman" w:cs="Times New Roman" w:eastAsia="Times New Roman" w:hAnsi="Times New Roman"/>
          <w:sz w:val="21"/>
          <w:szCs w:val="21"/>
          <w:color w:val="auto"/>
        </w:rPr>
      </w:pPr>
    </w:p>
    <w:p>
      <w:pPr>
        <w:jc w:val="both"/>
        <w:ind w:left="926" w:hanging="305"/>
        <w:spacing w:after="0" w:line="245" w:lineRule="auto"/>
        <w:tabs>
          <w:tab w:leader="none" w:pos="926"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Covered Person's Successors</w:t>
      </w:r>
      <w:r>
        <w:rPr>
          <w:rFonts w:ascii="Times New Roman" w:cs="Times New Roman" w:eastAsia="Times New Roman" w:hAnsi="Times New Roman"/>
          <w:sz w:val="21"/>
          <w:szCs w:val="21"/>
          <w:color w:val="auto"/>
        </w:rPr>
        <w:t>. The terms of this Agreement and all rights of the Covered Person's hereunder shall inure to the benefit of, and be enforceable by, the Covered Person's personal or legal representatives, executors, administrators, successors, heirs, distributes, devisees and legatees.</w:t>
      </w:r>
    </w:p>
    <w:p>
      <w:pPr>
        <w:spacing w:after="0" w:line="200" w:lineRule="exact"/>
        <w:rPr>
          <w:rFonts w:ascii="Times New Roman" w:cs="Times New Roman" w:eastAsia="Times New Roman" w:hAnsi="Times New Roman"/>
          <w:sz w:val="21"/>
          <w:szCs w:val="21"/>
          <w:color w:val="auto"/>
        </w:rPr>
      </w:pPr>
    </w:p>
    <w:p>
      <w:pPr>
        <w:spacing w:after="0" w:line="224" w:lineRule="exact"/>
        <w:rPr>
          <w:rFonts w:ascii="Times New Roman" w:cs="Times New Roman" w:eastAsia="Times New Roman" w:hAnsi="Times New Roman"/>
          <w:sz w:val="21"/>
          <w:szCs w:val="21"/>
          <w:color w:val="auto"/>
        </w:rPr>
      </w:pPr>
    </w:p>
    <w:p>
      <w:pPr>
        <w:ind w:left="306" w:hanging="306"/>
        <w:spacing w:after="0"/>
        <w:tabs>
          <w:tab w:leader="none" w:pos="30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w:t>
      </w:r>
    </w:p>
    <w:p>
      <w:pPr>
        <w:spacing w:after="0" w:line="224" w:lineRule="exact"/>
        <w:rPr>
          <w:rFonts w:ascii="Times New Roman" w:cs="Times New Roman" w:eastAsia="Times New Roman" w:hAnsi="Times New Roman"/>
          <w:sz w:val="21"/>
          <w:szCs w:val="21"/>
          <w:color w:val="auto"/>
        </w:rPr>
      </w:pPr>
    </w:p>
    <w:p>
      <w:pPr>
        <w:jc w:val="both"/>
        <w:ind w:left="926" w:hanging="305"/>
        <w:spacing w:after="0" w:line="235" w:lineRule="auto"/>
        <w:tabs>
          <w:tab w:leader="none" w:pos="91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the case of the Covered Person,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General Counsel.</w:t>
      </w:r>
    </w:p>
    <w:p>
      <w:pPr>
        <w:spacing w:after="0" w:line="198" w:lineRule="exact"/>
        <w:rPr>
          <w:rFonts w:ascii="Times New Roman" w:cs="Times New Roman" w:eastAsia="Times New Roman" w:hAnsi="Times New Roman"/>
          <w:sz w:val="21"/>
          <w:szCs w:val="21"/>
          <w:color w:val="auto"/>
        </w:rPr>
      </w:pPr>
    </w:p>
    <w:p>
      <w:pPr>
        <w:jc w:val="both"/>
        <w:ind w:left="926" w:hanging="305"/>
        <w:spacing w:after="0" w:line="236" w:lineRule="auto"/>
        <w:tabs>
          <w:tab w:leader="none" w:pos="926"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 by the Company</w:t>
      </w:r>
      <w:r>
        <w:rPr>
          <w:rFonts w:ascii="Times New Roman" w:cs="Times New Roman" w:eastAsia="Times New Roman" w:hAnsi="Times New Roman"/>
          <w:sz w:val="21"/>
          <w:szCs w:val="21"/>
          <w:color w:val="auto"/>
        </w:rPr>
        <w:t>. Any termination by the Company of the Covered Person's employment with the Company at any time following a Change of Control shall be communicated by notice of termination to the Covered Person at least five (5) days prior to the date of such termination, given in accordance with Section 8(a) of this Agreement. Such notice shall specify the termination date and whether the termination is considered by the Company to be for Cause as defined in Section 4(c) in which case the Company shall identify the specific subsection(s) of Section 4(c) asserted by the Company as the basis for the termination and shall set forth in reasonable detail the facts and circumstances relied upon by the Company in categorizing the termination as for Cause.</w:t>
      </w:r>
    </w:p>
    <w:p>
      <w:pPr>
        <w:sectPr>
          <w:pgSz w:w="11900" w:h="16838" w:orient="portrait"/>
          <w:cols w:equalWidth="0" w:num="1">
            <w:col w:w="10926"/>
          </w:cols>
          <w:pgMar w:left="634" w:top="1354" w:right="339" w:bottom="1440" w:gutter="0" w:footer="0" w:header="0"/>
        </w:sectPr>
      </w:pPr>
    </w:p>
    <w:bookmarkStart w:id="94" w:name="page95"/>
    <w:bookmarkEnd w:id="94"/>
    <w:p>
      <w:pPr>
        <w:jc w:val="both"/>
        <w:ind w:left="926" w:hanging="305"/>
        <w:spacing w:after="0" w:line="233" w:lineRule="auto"/>
        <w:tabs>
          <w:tab w:leader="none" w:pos="914"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by Covered Person of Involuntary Termination by the Company</w:t>
      </w:r>
      <w:r>
        <w:rPr>
          <w:rFonts w:ascii="Times New Roman" w:cs="Times New Roman" w:eastAsia="Times New Roman" w:hAnsi="Times New Roman"/>
          <w:sz w:val="21"/>
          <w:szCs w:val="21"/>
          <w:color w:val="auto"/>
        </w:rPr>
        <w:t>. In the event the Covered Person determines that an Involuntary Termination has occurred at any time following a Change of Control, the Covered Person shall give written notice that such Involuntary Termination has occurred as set forth in this Section 8(c). Such notice shall be delivered by the Covered Person to the Company in accordance with Section 8(a) of this Agreement within sixty (60) days following the date on which such Involuntary Termination if such Involuntary Termination occurred as a result of an event set forth in Section 4(b)(i)(A) or (B), (ii)-(vi) or within 120 days of an event set forth in Section 4(b)(i) other than the parenthetical containing (A) or (B) or (vii), shall indicate the specific provision or provisions in this Agreement upon which the Covered Person relied to make such determination and shall set forth in reasonable detail the facts and circumstances claimed to provide a basis for such determination. The failure by the Covered Person to include in the notice any fact or circumstance which contributes to a showing of Involuntary Termination shall not waive any right of the Covered Person hereunder or preclude the Covered Person from asserting such fact or circumstance in enforcing his or her rights hereunder.</w:t>
      </w:r>
    </w:p>
    <w:p>
      <w:pPr>
        <w:spacing w:after="0" w:line="200" w:lineRule="exact"/>
        <w:rPr>
          <w:rFonts w:ascii="Times New Roman" w:cs="Times New Roman" w:eastAsia="Times New Roman" w:hAnsi="Times New Roman"/>
          <w:sz w:val="21"/>
          <w:szCs w:val="21"/>
          <w:color w:val="auto"/>
        </w:rPr>
      </w:pPr>
    </w:p>
    <w:p>
      <w:pPr>
        <w:ind w:left="306" w:hanging="306"/>
        <w:spacing w:after="0"/>
        <w:tabs>
          <w:tab w:leader="none" w:pos="30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 Provisions</w:t>
      </w:r>
      <w:r>
        <w:rPr>
          <w:rFonts w:ascii="Times New Roman" w:cs="Times New Roman" w:eastAsia="Times New Roman" w:hAnsi="Times New Roman"/>
          <w:sz w:val="21"/>
          <w:szCs w:val="21"/>
          <w:color w:val="auto"/>
        </w:rPr>
        <w:t>.</w:t>
      </w:r>
    </w:p>
    <w:p>
      <w:pPr>
        <w:spacing w:after="0" w:line="224" w:lineRule="exact"/>
        <w:rPr>
          <w:rFonts w:ascii="Times New Roman" w:cs="Times New Roman" w:eastAsia="Times New Roman" w:hAnsi="Times New Roman"/>
          <w:sz w:val="21"/>
          <w:szCs w:val="21"/>
          <w:color w:val="auto"/>
        </w:rPr>
      </w:pPr>
    </w:p>
    <w:p>
      <w:pPr>
        <w:jc w:val="both"/>
        <w:ind w:left="926" w:hanging="305"/>
        <w:spacing w:after="0" w:line="245" w:lineRule="auto"/>
        <w:tabs>
          <w:tab w:leader="none" w:pos="914"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Duty to Mitigate</w:t>
      </w:r>
      <w:r>
        <w:rPr>
          <w:rFonts w:ascii="Times New Roman" w:cs="Times New Roman" w:eastAsia="Times New Roman" w:hAnsi="Times New Roman"/>
          <w:sz w:val="21"/>
          <w:szCs w:val="21"/>
          <w:color w:val="auto"/>
        </w:rPr>
        <w:t>. The Covered Person shall not be required to mitigate the amount of any payment contemplated by this Agreement (whether by seeking new employment or in any other manner), nor shall any such payment be reduced by any earnings that the Covered Person may receive from any other source.</w:t>
      </w:r>
    </w:p>
    <w:p>
      <w:pPr>
        <w:spacing w:after="0" w:line="191" w:lineRule="exact"/>
        <w:rPr>
          <w:rFonts w:ascii="Times New Roman" w:cs="Times New Roman" w:eastAsia="Times New Roman" w:hAnsi="Times New Roman"/>
          <w:sz w:val="21"/>
          <w:szCs w:val="21"/>
          <w:color w:val="auto"/>
        </w:rPr>
      </w:pPr>
    </w:p>
    <w:p>
      <w:pPr>
        <w:jc w:val="both"/>
        <w:ind w:left="926" w:hanging="305"/>
        <w:spacing w:after="0" w:line="236" w:lineRule="auto"/>
        <w:tabs>
          <w:tab w:leader="none" w:pos="926"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No provision of this Agreement shall be modified, waived or discharged unless the modification, waiver or discharge is agreed in writing and signed by the Covered Person and by an authorized officer of the Company (other than the Covered Person). No waiver by either party of any breach of, or compliance with, any condition or provision of this Agreement by the other party shall be considered a waiver of any other condition or provision of the same condition or provision at another time.</w:t>
      </w:r>
    </w:p>
    <w:p>
      <w:pPr>
        <w:spacing w:after="0" w:line="196" w:lineRule="exact"/>
        <w:rPr>
          <w:rFonts w:ascii="Times New Roman" w:cs="Times New Roman" w:eastAsia="Times New Roman" w:hAnsi="Times New Roman"/>
          <w:sz w:val="21"/>
          <w:szCs w:val="21"/>
          <w:color w:val="auto"/>
        </w:rPr>
      </w:pPr>
    </w:p>
    <w:p>
      <w:pPr>
        <w:jc w:val="both"/>
        <w:ind w:left="926" w:hanging="305"/>
        <w:spacing w:after="0"/>
        <w:tabs>
          <w:tab w:leader="none" w:pos="914"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Except with respect to the terms of any written employment agreement, if any, by and between the Company and the Covered Person that is signed on behalf of the Company, no agreements, representations or understandings (whether oral or written and whether express or implied) which are not expressly set forth in this Agreement have been made or entered into by either party with respect to the subject matter hereof.</w:t>
      </w:r>
    </w:p>
    <w:p>
      <w:pPr>
        <w:spacing w:after="0" w:line="198" w:lineRule="exact"/>
        <w:rPr>
          <w:rFonts w:ascii="Times New Roman" w:cs="Times New Roman" w:eastAsia="Times New Roman" w:hAnsi="Times New Roman"/>
          <w:sz w:val="21"/>
          <w:szCs w:val="21"/>
          <w:color w:val="auto"/>
        </w:rPr>
      </w:pPr>
    </w:p>
    <w:p>
      <w:pPr>
        <w:ind w:left="926" w:hanging="305"/>
        <w:spacing w:after="0" w:line="260" w:lineRule="auto"/>
        <w:tabs>
          <w:tab w:leader="none" w:pos="926"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w:t>
      </w:r>
      <w:r>
        <w:rPr>
          <w:rFonts w:ascii="Times New Roman" w:cs="Times New Roman" w:eastAsia="Times New Roman" w:hAnsi="Times New Roman"/>
          <w:sz w:val="21"/>
          <w:szCs w:val="21"/>
          <w:color w:val="auto"/>
        </w:rPr>
        <w:t>. The validity, interpretation, construction and performance of this Agreement shall be governed by the laws of the Commonwealth of Massachusetts.</w:t>
      </w:r>
    </w:p>
    <w:p>
      <w:pPr>
        <w:spacing w:after="0" w:line="162" w:lineRule="exact"/>
        <w:rPr>
          <w:rFonts w:ascii="Times New Roman" w:cs="Times New Roman" w:eastAsia="Times New Roman" w:hAnsi="Times New Roman"/>
          <w:sz w:val="21"/>
          <w:szCs w:val="21"/>
          <w:color w:val="auto"/>
        </w:rPr>
      </w:pPr>
    </w:p>
    <w:p>
      <w:pPr>
        <w:ind w:left="926" w:hanging="305"/>
        <w:spacing w:after="0" w:line="260" w:lineRule="auto"/>
        <w:tabs>
          <w:tab w:leader="none" w:pos="914"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enforceability of any provisions or provisions of this Agreement shall not affect the validity or enforceability of any other provision hereof, which shall remain in full force and effect.</w:t>
      </w:r>
    </w:p>
    <w:p>
      <w:pPr>
        <w:sectPr>
          <w:pgSz w:w="11900" w:h="16838" w:orient="portrait"/>
          <w:cols w:equalWidth="0" w:num="1">
            <w:col w:w="10926"/>
          </w:cols>
          <w:pgMar w:left="634" w:top="1354" w:right="339" w:bottom="1440" w:gutter="0" w:footer="0" w:header="0"/>
        </w:sectPr>
      </w:pPr>
    </w:p>
    <w:bookmarkStart w:id="95" w:name="page96"/>
    <w:bookmarkEnd w:id="95"/>
    <w:p>
      <w:pPr>
        <w:jc w:val="both"/>
        <w:ind w:left="305" w:hanging="305"/>
        <w:spacing w:after="0" w:line="237" w:lineRule="auto"/>
        <w:tabs>
          <w:tab w:leader="none" w:pos="29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Any dispute or controversy arising under or in connection with this Agreement shall be settled exclusively by final and binding arbitration in Massachusetts, in accordance with the rules of the American Arbitration Association then in effect. Judgment may be entered on the arbitrator's award in any court having jurisdiction. In the event the Covered Person prevails in an action or proceeding brought to enforce the terms of this Agreement or to enforce and collect on any non-de minimis judgment entered pursuant to this Agreement, the Covered Person shall be entitled to recover all costs and reasonable attorney's fees.</w:t>
      </w:r>
    </w:p>
    <w:p>
      <w:pPr>
        <w:spacing w:after="0" w:line="186" w:lineRule="exact"/>
        <w:rPr>
          <w:rFonts w:ascii="Times New Roman" w:cs="Times New Roman" w:eastAsia="Times New Roman" w:hAnsi="Times New Roman"/>
          <w:sz w:val="21"/>
          <w:szCs w:val="21"/>
          <w:color w:val="auto"/>
        </w:rPr>
      </w:pPr>
    </w:p>
    <w:p>
      <w:pPr>
        <w:jc w:val="both"/>
        <w:ind w:left="305" w:hanging="305"/>
        <w:spacing w:after="0" w:line="251" w:lineRule="auto"/>
        <w:tabs>
          <w:tab w:leader="none" w:pos="30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of Benefits</w:t>
      </w:r>
      <w:r>
        <w:rPr>
          <w:rFonts w:ascii="Times New Roman" w:cs="Times New Roman" w:eastAsia="Times New Roman" w:hAnsi="Times New Roman"/>
          <w:sz w:val="20"/>
          <w:szCs w:val="20"/>
          <w:color w:val="auto"/>
        </w:rPr>
        <w:t>. The rights of any person to payments or benefits under this Agreement shall not be made subject to option or assignment, either by voluntary or involuntary assignment or by operation of law, including (without limitation) bankruptcy, garnishment, attachment or other creditor's process, and any action in violation of this subsection</w:t>
      </w:r>
    </w:p>
    <w:p>
      <w:pPr>
        <w:ind w:left="305"/>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(g) shall be void.</w:t>
      </w:r>
    </w:p>
    <w:p>
      <w:pPr>
        <w:spacing w:after="0" w:line="200" w:lineRule="exact"/>
        <w:rPr>
          <w:rFonts w:ascii="Times New Roman" w:cs="Times New Roman" w:eastAsia="Times New Roman" w:hAnsi="Times New Roman"/>
          <w:sz w:val="20"/>
          <w:szCs w:val="20"/>
          <w:color w:val="auto"/>
        </w:rPr>
      </w:pPr>
    </w:p>
    <w:p>
      <w:pPr>
        <w:ind w:left="305" w:hanging="305"/>
        <w:spacing w:after="0" w:line="260" w:lineRule="auto"/>
        <w:tabs>
          <w:tab w:leader="none" w:pos="305"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Taxes</w:t>
      </w:r>
      <w:r>
        <w:rPr>
          <w:rFonts w:ascii="Times New Roman" w:cs="Times New Roman" w:eastAsia="Times New Roman" w:hAnsi="Times New Roman"/>
          <w:sz w:val="21"/>
          <w:szCs w:val="21"/>
          <w:color w:val="auto"/>
        </w:rPr>
        <w:t>. Subject to Section 5, all payments made pursuant to this Agreement will be subject to withholding of applicable income and employment taxes.</w:t>
      </w:r>
    </w:p>
    <w:p>
      <w:pPr>
        <w:spacing w:after="0" w:line="175" w:lineRule="exact"/>
        <w:rPr>
          <w:rFonts w:ascii="Times New Roman" w:cs="Times New Roman" w:eastAsia="Times New Roman" w:hAnsi="Times New Roman"/>
          <w:sz w:val="21"/>
          <w:szCs w:val="21"/>
          <w:color w:val="auto"/>
        </w:rPr>
      </w:pPr>
    </w:p>
    <w:p>
      <w:pPr>
        <w:jc w:val="both"/>
        <w:ind w:left="305" w:hanging="305"/>
        <w:spacing w:after="0" w:line="238" w:lineRule="auto"/>
        <w:tabs>
          <w:tab w:leader="none" w:pos="29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by Company</w:t>
      </w:r>
      <w:r>
        <w:rPr>
          <w:rFonts w:ascii="Times New Roman" w:cs="Times New Roman" w:eastAsia="Times New Roman" w:hAnsi="Times New Roman"/>
          <w:sz w:val="21"/>
          <w:szCs w:val="21"/>
          <w:color w:val="auto"/>
        </w:rPr>
        <w:t>. The Company may assign its rights under this Agreement to an affiliate and an affiliate may assign its rights under this Agreement to another affiliate of the Company or to the Company; provided, however, that no assignment shall be made if the net worth of the assignee is less than the net worth of the Company at the time of the assignment. In the case of any such assignment, the term "Company" when used in a section of the Agreement shall mean the corporation that actually employs the Covered Person.</w:t>
      </w:r>
    </w:p>
    <w:p>
      <w:pPr>
        <w:spacing w:after="0" w:line="186" w:lineRule="exact"/>
        <w:rPr>
          <w:rFonts w:ascii="Times New Roman" w:cs="Times New Roman" w:eastAsia="Times New Roman" w:hAnsi="Times New Roman"/>
          <w:sz w:val="21"/>
          <w:szCs w:val="21"/>
          <w:color w:val="auto"/>
        </w:rPr>
      </w:pPr>
    </w:p>
    <w:p>
      <w:pPr>
        <w:ind w:left="305" w:hanging="305"/>
        <w:spacing w:after="0" w:line="260" w:lineRule="auto"/>
        <w:tabs>
          <w:tab w:leader="none" w:pos="29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will constitute one and the same instrument.</w:t>
      </w:r>
    </w:p>
    <w:p>
      <w:pPr>
        <w:spacing w:after="0" w:line="200" w:lineRule="exact"/>
        <w:rPr>
          <w:sz w:val="20"/>
          <w:szCs w:val="20"/>
          <w:color w:val="auto"/>
        </w:rPr>
      </w:pPr>
    </w:p>
    <w:p>
      <w:pPr>
        <w:spacing w:after="0" w:line="208" w:lineRule="exact"/>
        <w:rPr>
          <w:sz w:val="20"/>
          <w:szCs w:val="20"/>
          <w:color w:val="auto"/>
        </w:rPr>
      </w:pPr>
    </w:p>
    <w:p>
      <w:pPr>
        <w:ind w:left="3565"/>
        <w:spacing w:after="0"/>
        <w:rPr>
          <w:sz w:val="20"/>
          <w:szCs w:val="20"/>
          <w:color w:val="auto"/>
        </w:rPr>
      </w:pPr>
      <w:r>
        <w:rPr>
          <w:rFonts w:ascii="Times New Roman" w:cs="Times New Roman" w:eastAsia="Times New Roman" w:hAnsi="Times New Roman"/>
          <w:sz w:val="21"/>
          <w:szCs w:val="21"/>
          <w:color w:val="auto"/>
        </w:rPr>
        <w:t>[Signature Page to Follow]</w:t>
      </w:r>
    </w:p>
    <w:p>
      <w:pPr>
        <w:sectPr>
          <w:pgSz w:w="11900" w:h="16838" w:orient="portrait"/>
          <w:cols w:equalWidth="0" w:num="1">
            <w:col w:w="10305"/>
          </w:cols>
          <w:pgMar w:left="1255" w:top="1354" w:right="339" w:bottom="1440" w:gutter="0" w:footer="0" w:header="0"/>
        </w:sectPr>
      </w:pPr>
    </w:p>
    <w:bookmarkStart w:id="96" w:name="page97"/>
    <w:bookmarkEnd w:id="96"/>
    <w:p>
      <w:pPr>
        <w:spacing w:after="0" w:line="380" w:lineRule="exact"/>
        <w:rPr>
          <w:sz w:val="20"/>
          <w:szCs w:val="20"/>
          <w:color w:val="auto"/>
        </w:rPr>
      </w:pPr>
    </w:p>
    <w:p>
      <w:pPr>
        <w:ind w:firstLine="621"/>
        <w:spacing w:after="0" w:line="260" w:lineRule="auto"/>
        <w:rPr>
          <w:sz w:val="20"/>
          <w:szCs w:val="20"/>
          <w:color w:val="auto"/>
        </w:rPr>
      </w:pPr>
      <w:r>
        <w:rPr>
          <w:rFonts w:ascii="Times New Roman" w:cs="Times New Roman" w:eastAsia="Times New Roman" w:hAnsi="Times New Roman"/>
          <w:sz w:val="21"/>
          <w:szCs w:val="21"/>
          <w:color w:val="auto"/>
        </w:rPr>
        <w:t>IN WITNESS WHEREOF, each of the parties has executed this Agreement, in the case of the Company by its duly authorized officer, as of the date first above written.</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418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Progress Software Corporation</w:t>
            </w:r>
          </w:p>
        </w:tc>
        <w:tc>
          <w:tcPr>
            <w:tcW w:w="3900" w:type="dxa"/>
            <w:vAlign w:val="bottom"/>
            <w:gridSpan w:val="3"/>
          </w:tcPr>
          <w:p>
            <w:pPr>
              <w:ind w:left="1420"/>
              <w:spacing w:after="0"/>
              <w:rPr>
                <w:sz w:val="20"/>
                <w:szCs w:val="20"/>
                <w:color w:val="auto"/>
              </w:rPr>
            </w:pPr>
            <w:r>
              <w:rPr>
                <w:rFonts w:ascii="Times New Roman" w:cs="Times New Roman" w:eastAsia="Times New Roman" w:hAnsi="Times New Roman"/>
                <w:sz w:val="21"/>
                <w:szCs w:val="21"/>
                <w:b w:val="1"/>
                <w:bCs w:val="1"/>
                <w:color w:val="auto"/>
              </w:rPr>
              <w:t>Covered Person</w:t>
            </w:r>
          </w:p>
        </w:tc>
      </w:tr>
      <w:tr>
        <w:trPr>
          <w:trHeight w:val="236"/>
        </w:trPr>
        <w:tc>
          <w:tcPr>
            <w:tcW w:w="418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By: /s/ YuFan Stephanie Wang</w:t>
            </w:r>
          </w:p>
        </w:tc>
        <w:tc>
          <w:tcPr>
            <w:tcW w:w="3900" w:type="dxa"/>
            <w:vAlign w:val="bottom"/>
            <w:gridSpan w:val="3"/>
          </w:tcPr>
          <w:p>
            <w:pPr>
              <w:ind w:left="1420"/>
              <w:spacing w:after="0" w:line="236" w:lineRule="exact"/>
              <w:rPr>
                <w:sz w:val="20"/>
                <w:szCs w:val="20"/>
                <w:color w:val="auto"/>
              </w:rPr>
            </w:pPr>
            <w:r>
              <w:rPr>
                <w:rFonts w:ascii="Times New Roman" w:cs="Times New Roman" w:eastAsia="Times New Roman" w:hAnsi="Times New Roman"/>
                <w:sz w:val="21"/>
                <w:szCs w:val="21"/>
                <w:color w:val="auto"/>
              </w:rPr>
              <w:t>By: /s/ Yogesh K. Gupta</w:t>
            </w:r>
          </w:p>
        </w:tc>
      </w:tr>
      <w:tr>
        <w:trPr>
          <w:trHeight w:val="20"/>
        </w:trPr>
        <w:tc>
          <w:tcPr>
            <w:tcW w:w="3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14"/>
        </w:trPr>
        <w:tc>
          <w:tcPr>
            <w:tcW w:w="41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Name: YuFan Stephanie Wang</w:t>
            </w:r>
          </w:p>
        </w:tc>
        <w:tc>
          <w:tcPr>
            <w:tcW w:w="3900" w:type="dxa"/>
            <w:vAlign w:val="bottom"/>
            <w:gridSpan w:val="3"/>
          </w:tcPr>
          <w:p>
            <w:pPr>
              <w:ind w:left="1420"/>
              <w:spacing w:after="0"/>
              <w:rPr>
                <w:sz w:val="20"/>
                <w:szCs w:val="20"/>
                <w:color w:val="auto"/>
              </w:rPr>
            </w:pPr>
            <w:r>
              <w:rPr>
                <w:rFonts w:ascii="Times New Roman" w:cs="Times New Roman" w:eastAsia="Times New Roman" w:hAnsi="Times New Roman"/>
                <w:sz w:val="21"/>
                <w:szCs w:val="21"/>
                <w:color w:val="auto"/>
              </w:rPr>
              <w:t>Name: Yogesh K. Gupta</w:t>
            </w:r>
          </w:p>
        </w:tc>
      </w:tr>
      <w:tr>
        <w:trPr>
          <w:trHeight w:val="285"/>
        </w:trPr>
        <w:tc>
          <w:tcPr>
            <w:tcW w:w="41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Title: Chief Legal Officer</w:t>
            </w:r>
          </w:p>
        </w:tc>
        <w:tc>
          <w:tcPr>
            <w:tcW w:w="3900" w:type="dxa"/>
            <w:vAlign w:val="bottom"/>
            <w:gridSpan w:val="3"/>
          </w:tcPr>
          <w:p>
            <w:pPr>
              <w:ind w:left="1420"/>
              <w:spacing w:after="0"/>
              <w:rPr>
                <w:sz w:val="20"/>
                <w:szCs w:val="20"/>
                <w:color w:val="auto"/>
              </w:rPr>
            </w:pPr>
            <w:r>
              <w:rPr>
                <w:rFonts w:ascii="Times New Roman" w:cs="Times New Roman" w:eastAsia="Times New Roman" w:hAnsi="Times New Roman"/>
                <w:sz w:val="21"/>
                <w:szCs w:val="21"/>
                <w:color w:val="auto"/>
                <w:w w:val="97"/>
              </w:rPr>
              <w:t>Title: Chief Executive Officer</w:t>
            </w:r>
          </w:p>
        </w:tc>
      </w:tr>
    </w:tbl>
    <w:p>
      <w:pPr>
        <w:sectPr>
          <w:pgSz w:w="11900" w:h="16838" w:orient="portrait"/>
          <w:cols w:equalWidth="0" w:num="1">
            <w:col w:w="10620"/>
          </w:cols>
          <w:pgMar w:left="940" w:top="144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Subsidiaries of Progress Software Corporation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Jurisdiction</w:t>
            </w:r>
          </w:p>
        </w:tc>
        <w:tc>
          <w:tcPr>
            <w:tcW w:w="8800" w:type="dxa"/>
            <w:vAlign w:val="bottom"/>
          </w:tcPr>
          <w:p>
            <w:pPr>
              <w:ind w:left="4200"/>
              <w:spacing w:after="0"/>
              <w:rPr>
                <w:sz w:val="20"/>
                <w:szCs w:val="20"/>
                <w:color w:val="auto"/>
              </w:rPr>
            </w:pPr>
            <w:r>
              <w:rPr>
                <w:rFonts w:ascii="Times New Roman" w:cs="Times New Roman" w:eastAsia="Times New Roman" w:hAnsi="Times New Roman"/>
                <w:sz w:val="17"/>
                <w:szCs w:val="17"/>
                <w:color w:val="auto"/>
              </w:rPr>
              <w:t>Name</w:t>
            </w:r>
          </w:p>
        </w:tc>
      </w:tr>
      <w:tr>
        <w:trPr>
          <w:trHeight w:val="213"/>
        </w:trPr>
        <w:tc>
          <w:tcPr>
            <w:tcW w:w="2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100" w:type="dxa"/>
            <w:vAlign w:val="bottom"/>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California</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Savvion, Inc.</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Canada</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Corporation of Canada Ltd.</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Delaware</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Software International, LLC</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Delaware</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Global Corporation</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Delaware</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Software Denmark A/S</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Delaware</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Germany GmbH</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Delaware</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Federal Solutions, Inc.</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Delaware</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ShareFile, LLC</w:t>
            </w:r>
          </w:p>
        </w:tc>
      </w:tr>
      <w:tr>
        <w:trPr>
          <w:trHeight w:val="259"/>
        </w:trPr>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0" w:type="dxa"/>
            <w:vAlign w:val="bottom"/>
            <w:shd w:val="clear" w:color="auto" w:fill="CCEEFF"/>
          </w:tcPr>
          <w:p>
            <w:pPr>
              <w:spacing w:after="0"/>
              <w:rPr>
                <w:sz w:val="22"/>
                <w:szCs w:val="22"/>
                <w:color w:val="auto"/>
              </w:rPr>
            </w:pPr>
          </w:p>
        </w:tc>
      </w:tr>
      <w:tr>
        <w:trPr>
          <w:trHeight w:val="22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EMEA</w:t>
            </w:r>
          </w:p>
        </w:tc>
        <w:tc>
          <w:tcPr>
            <w:tcW w:w="8800" w:type="dxa"/>
            <w:vAlign w:val="bottom"/>
          </w:tcPr>
          <w:p>
            <w:pPr>
              <w:spacing w:after="0"/>
              <w:rPr>
                <w:sz w:val="19"/>
                <w:szCs w:val="19"/>
                <w:color w:val="auto"/>
              </w:rPr>
            </w:pP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Austria</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Software Gesellschaft mbH</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Belgium</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NV</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Bulgaria</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Software EAD</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Bulgaria</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Trident Acquisition EAD</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Czech Republic</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Flowmon Networks, A.S.</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Denmark</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A/S</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Finland</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Software Oy</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France</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S.A.S.</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Germany</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Software GmbH</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Ireland</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Technologies Limited</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Italy</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Software Italy S.r.l.</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Netherlands</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B.V.</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Norway</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Software A/S</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Poland</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Sp. z.o o.</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Spain</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Software S.L.U.</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Sweden</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Svenska AB</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Switzerland</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Software AG</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United Kingdom</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Limited</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United Kingdom</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MarkLogic (UK) Limited</w:t>
            </w:r>
          </w:p>
        </w:tc>
      </w:tr>
      <w:tr>
        <w:trPr>
          <w:trHeight w:val="259"/>
        </w:trPr>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0" w:type="dxa"/>
            <w:vAlign w:val="bottom"/>
          </w:tcPr>
          <w:p>
            <w:pPr>
              <w:spacing w:after="0"/>
              <w:rPr>
                <w:sz w:val="22"/>
                <w:szCs w:val="22"/>
                <w:color w:val="auto"/>
              </w:rPr>
            </w:pPr>
          </w:p>
        </w:tc>
      </w:tr>
      <w:tr>
        <w:trPr>
          <w:trHeight w:val="220"/>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Latin America</w:t>
            </w:r>
          </w:p>
        </w:tc>
        <w:tc>
          <w:tcPr>
            <w:tcW w:w="8800" w:type="dxa"/>
            <w:vAlign w:val="bottom"/>
            <w:shd w:val="clear" w:color="auto" w:fill="CCEEFF"/>
          </w:tcPr>
          <w:p>
            <w:pPr>
              <w:spacing w:after="0"/>
              <w:rPr>
                <w:sz w:val="19"/>
                <w:szCs w:val="19"/>
                <w:color w:val="auto"/>
              </w:rPr>
            </w:pP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Brazil</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do Brasil Ltda.</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Costa Rica</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Software de Costa Rica SRL</w:t>
            </w:r>
          </w:p>
        </w:tc>
      </w:tr>
      <w:tr>
        <w:trPr>
          <w:trHeight w:val="246"/>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0" w:type="dxa"/>
            <w:vAlign w:val="bottom"/>
          </w:tcPr>
          <w:p>
            <w:pPr>
              <w:spacing w:after="0"/>
              <w:rPr>
                <w:sz w:val="21"/>
                <w:szCs w:val="21"/>
                <w:color w:val="auto"/>
              </w:rPr>
            </w:pPr>
          </w:p>
        </w:tc>
      </w:tr>
      <w:tr>
        <w:trPr>
          <w:trHeight w:val="220"/>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8800" w:type="dxa"/>
            <w:vAlign w:val="bottom"/>
            <w:shd w:val="clear" w:color="auto" w:fill="CCEEFF"/>
          </w:tcPr>
          <w:p>
            <w:pPr>
              <w:spacing w:after="0"/>
              <w:rPr>
                <w:sz w:val="19"/>
                <w:szCs w:val="19"/>
                <w:color w:val="auto"/>
              </w:rPr>
            </w:pP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Australia</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Pty. Ltd.</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China</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(Shanghai) Software System Company Limited</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Hong Kong</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Corporation Limited</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India</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Software Development Private Limited</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India</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Solutions India Private Ltd.</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India</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Kemp Technologies India Private Limited</w:t>
            </w:r>
          </w:p>
        </w:tc>
      </w:tr>
      <w:tr>
        <w:trPr>
          <w:trHeight w:val="220"/>
        </w:trPr>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Japan</w:t>
            </w: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Progress Software Japan KK</w:t>
            </w:r>
          </w:p>
        </w:tc>
      </w:tr>
      <w:tr>
        <w:trPr>
          <w:trHeight w:val="220"/>
        </w:trPr>
        <w:tc>
          <w:tcPr>
            <w:tcW w:w="2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Singapore</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Progress Software Corporation (S) Pte. Ltd.</w:t>
            </w:r>
          </w:p>
        </w:tc>
      </w:tr>
    </w:tbl>
    <w:p>
      <w:pPr>
        <w:sectPr>
          <w:pgSz w:w="11900" w:h="16838" w:orient="portrait"/>
          <w:cols w:equalWidth="0" w:num="1">
            <w:col w:w="11240"/>
          </w:cols>
          <w:pgMar w:left="320" w:top="856"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3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333-80559, 333-41401, 333-41393, 333-41403, 333-80571, 333-98035, 333-101239, 333-122962, 333-150555, 333-257519, 333-275707, and 333-280735 on Form S-8 and No. 333-286265 on Form S-3 of our reports dated January 20, 2026, relating to the financial statements of Progress Software Corporation and the effectiveness of Progress Software Corporation's internal control over financial reporting, appearing in this Annual Report on Form 10-K of Progress Software Corporation for the year ended November 30,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20, 2026</w:t>
      </w:r>
    </w:p>
    <w:p>
      <w:pPr>
        <w:sectPr>
          <w:pgSz w:w="11900" w:h="16838" w:orient="portrait"/>
          <w:cols w:equalWidth="0" w:num="1">
            <w:col w:w="11240"/>
          </w:cols>
          <w:pgMar w:left="320" w:top="856"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Yogesh K. Gupta, certify that:</w:t>
      </w:r>
    </w:p>
    <w:p>
      <w:pPr>
        <w:spacing w:after="0" w:line="244" w:lineRule="exact"/>
        <w:rPr>
          <w:sz w:val="20"/>
          <w:szCs w:val="20"/>
          <w:color w:val="auto"/>
        </w:rPr>
      </w:pPr>
    </w:p>
    <w:p>
      <w:pPr>
        <w:ind w:left="180" w:hanging="177"/>
        <w:spacing w:after="0"/>
        <w:tabs>
          <w:tab w:leader="none" w:pos="1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Progress Software Corporation;</w:t>
      </w:r>
    </w:p>
    <w:p>
      <w:pPr>
        <w:spacing w:after="0" w:line="244" w:lineRule="exact"/>
        <w:rPr>
          <w:rFonts w:ascii="Times New Roman" w:cs="Times New Roman" w:eastAsia="Times New Roman" w:hAnsi="Times New Roman"/>
          <w:sz w:val="17"/>
          <w:szCs w:val="17"/>
          <w:color w:val="auto"/>
        </w:rPr>
      </w:pPr>
    </w:p>
    <w:p>
      <w:pPr>
        <w:ind w:right="260" w:firstLine="3"/>
        <w:spacing w:after="0" w:line="291" w:lineRule="auto"/>
        <w:tabs>
          <w:tab w:leader="none" w:pos="17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right="360" w:firstLine="3"/>
        <w:spacing w:after="0" w:line="291" w:lineRule="auto"/>
        <w:tabs>
          <w:tab w:leader="none" w:pos="17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right="220" w:firstLine="3"/>
        <w:spacing w:after="0" w:line="272" w:lineRule="auto"/>
        <w:tabs>
          <w:tab w:leader="none" w:pos="17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7"/>
          <w:szCs w:val="17"/>
          <w:color w:val="auto"/>
        </w:rPr>
      </w:pPr>
    </w:p>
    <w:p>
      <w:pPr>
        <w:ind w:left="320" w:right="100" w:hanging="6"/>
        <w:spacing w:after="0" w:line="272" w:lineRule="auto"/>
        <w:tabs>
          <w:tab w:leader="none" w:pos="49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7"/>
          <w:szCs w:val="17"/>
          <w:color w:val="auto"/>
        </w:rPr>
      </w:pPr>
    </w:p>
    <w:p>
      <w:pPr>
        <w:jc w:val="both"/>
        <w:ind w:left="320" w:right="260" w:hanging="6"/>
        <w:spacing w:after="0" w:line="272" w:lineRule="auto"/>
        <w:tabs>
          <w:tab w:leader="none" w:pos="50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left="320" w:right="100" w:hanging="6"/>
        <w:spacing w:after="0" w:line="291" w:lineRule="auto"/>
        <w:tabs>
          <w:tab w:leader="none" w:pos="49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320" w:right="40" w:hanging="6"/>
        <w:spacing w:after="0" w:line="272" w:lineRule="auto"/>
        <w:tabs>
          <w:tab w:leader="none" w:pos="50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7"/>
          <w:szCs w:val="17"/>
          <w:color w:val="auto"/>
        </w:rPr>
      </w:pPr>
    </w:p>
    <w:p>
      <w:pPr>
        <w:ind w:right="160" w:firstLine="3"/>
        <w:spacing w:after="0" w:line="291" w:lineRule="auto"/>
        <w:tabs>
          <w:tab w:leader="none" w:pos="17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2" w:lineRule="exact"/>
        <w:rPr>
          <w:rFonts w:ascii="Times New Roman" w:cs="Times New Roman" w:eastAsia="Times New Roman" w:hAnsi="Times New Roman"/>
          <w:sz w:val="17"/>
          <w:szCs w:val="17"/>
          <w:color w:val="auto"/>
        </w:rPr>
      </w:pPr>
    </w:p>
    <w:p>
      <w:pPr>
        <w:ind w:left="320" w:right="260" w:hanging="6"/>
        <w:spacing w:after="0" w:line="291" w:lineRule="auto"/>
        <w:tabs>
          <w:tab w:leader="none" w:pos="49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320" w:right="500" w:hanging="6"/>
        <w:spacing w:after="0" w:line="291" w:lineRule="auto"/>
        <w:tabs>
          <w:tab w:leader="none" w:pos="50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January 20, 2026</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YOGESH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21355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3550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Yogesh K. Gupta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856"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Anthony Folger, certify that:</w:t>
      </w:r>
    </w:p>
    <w:p>
      <w:pPr>
        <w:spacing w:after="0" w:line="244" w:lineRule="exact"/>
        <w:rPr>
          <w:sz w:val="20"/>
          <w:szCs w:val="20"/>
          <w:color w:val="auto"/>
        </w:rPr>
      </w:pPr>
    </w:p>
    <w:p>
      <w:pPr>
        <w:ind w:left="180" w:hanging="177"/>
        <w:spacing w:after="0"/>
        <w:tabs>
          <w:tab w:leader="none" w:pos="1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Progress Software Corporation;</w:t>
      </w:r>
    </w:p>
    <w:p>
      <w:pPr>
        <w:spacing w:after="0" w:line="244" w:lineRule="exact"/>
        <w:rPr>
          <w:rFonts w:ascii="Times New Roman" w:cs="Times New Roman" w:eastAsia="Times New Roman" w:hAnsi="Times New Roman"/>
          <w:sz w:val="17"/>
          <w:szCs w:val="17"/>
          <w:color w:val="auto"/>
        </w:rPr>
      </w:pPr>
    </w:p>
    <w:p>
      <w:pPr>
        <w:ind w:right="260" w:firstLine="3"/>
        <w:spacing w:after="0" w:line="291" w:lineRule="auto"/>
        <w:tabs>
          <w:tab w:leader="none" w:pos="17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right="360" w:firstLine="3"/>
        <w:spacing w:after="0" w:line="291" w:lineRule="auto"/>
        <w:tabs>
          <w:tab w:leader="none" w:pos="17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right="220" w:firstLine="3"/>
        <w:spacing w:after="0" w:line="272" w:lineRule="auto"/>
        <w:tabs>
          <w:tab w:leader="none" w:pos="17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7"/>
          <w:szCs w:val="17"/>
          <w:color w:val="auto"/>
        </w:rPr>
      </w:pPr>
    </w:p>
    <w:p>
      <w:pPr>
        <w:ind w:left="320" w:right="100" w:hanging="6"/>
        <w:spacing w:after="0" w:line="272" w:lineRule="auto"/>
        <w:tabs>
          <w:tab w:leader="none" w:pos="49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7"/>
          <w:szCs w:val="17"/>
          <w:color w:val="auto"/>
        </w:rPr>
      </w:pPr>
    </w:p>
    <w:p>
      <w:pPr>
        <w:jc w:val="both"/>
        <w:ind w:left="320" w:right="260" w:hanging="6"/>
        <w:spacing w:after="0" w:line="272" w:lineRule="auto"/>
        <w:tabs>
          <w:tab w:leader="none" w:pos="50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left="320" w:right="100" w:hanging="6"/>
        <w:spacing w:after="0" w:line="291" w:lineRule="auto"/>
        <w:tabs>
          <w:tab w:leader="none" w:pos="49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320" w:right="40" w:hanging="6"/>
        <w:spacing w:after="0" w:line="272" w:lineRule="auto"/>
        <w:tabs>
          <w:tab w:leader="none" w:pos="50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7"/>
          <w:szCs w:val="17"/>
          <w:color w:val="auto"/>
        </w:rPr>
      </w:pPr>
    </w:p>
    <w:p>
      <w:pPr>
        <w:ind w:right="160" w:firstLine="3"/>
        <w:spacing w:after="0" w:line="291" w:lineRule="auto"/>
        <w:tabs>
          <w:tab w:leader="none" w:pos="17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2" w:lineRule="exact"/>
        <w:rPr>
          <w:rFonts w:ascii="Times New Roman" w:cs="Times New Roman" w:eastAsia="Times New Roman" w:hAnsi="Times New Roman"/>
          <w:sz w:val="17"/>
          <w:szCs w:val="17"/>
          <w:color w:val="auto"/>
        </w:rPr>
      </w:pPr>
    </w:p>
    <w:p>
      <w:pPr>
        <w:ind w:left="320" w:right="260" w:hanging="6"/>
        <w:spacing w:after="0" w:line="291" w:lineRule="auto"/>
        <w:tabs>
          <w:tab w:leader="none" w:pos="49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320" w:right="500" w:hanging="6"/>
        <w:spacing w:after="0" w:line="291" w:lineRule="auto"/>
        <w:tabs>
          <w:tab w:leader="none" w:pos="50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January 20, 2026</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ANTHONY FOLGER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24479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Anthony Folger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856"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 As Adopted Pursuant To Section 906 of the Sarbanes-Oxley Act of 2002</w:t>
      </w:r>
    </w:p>
    <w:p>
      <w:pPr>
        <w:spacing w:after="0" w:line="24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In connection with the Annual Report on Form 10-K of Progress Software Corporation (the "Company") for the year ended November 30, 2025, as filed with the Securities and Exchange Commission on the date hereof (the "Report"), each of the undersigned, Yogesh K. Gupta, President and Chief Executive Officer, and Anthony Folger, Chief Financial Officer, of the Company, certifies, to the best knowledge and belief of the signatory, pursuant to 18 U.S.C. Section 1350, as adopted pursuant to Section 906 of the Sarbanes-Oxley Act of 2002, that:</w:t>
      </w:r>
    </w:p>
    <w:p>
      <w:pPr>
        <w:spacing w:after="0" w:line="194" w:lineRule="exact"/>
        <w:rPr>
          <w:sz w:val="20"/>
          <w:szCs w:val="20"/>
          <w:color w:val="auto"/>
        </w:rPr>
      </w:pPr>
    </w:p>
    <w:p>
      <w:pPr>
        <w:ind w:left="480" w:hanging="166"/>
        <w:spacing w:after="0"/>
        <w:tabs>
          <w:tab w:leader="none" w:pos="4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4" w:lineRule="exact"/>
        <w:rPr>
          <w:rFonts w:ascii="Times New Roman" w:cs="Times New Roman" w:eastAsia="Times New Roman" w:hAnsi="Times New Roman"/>
          <w:sz w:val="17"/>
          <w:szCs w:val="17"/>
          <w:color w:val="auto"/>
        </w:rPr>
      </w:pPr>
    </w:p>
    <w:p>
      <w:pPr>
        <w:ind w:left="480" w:hanging="166"/>
        <w:spacing w:after="0"/>
        <w:tabs>
          <w:tab w:leader="none" w:pos="4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YOGESH K. GUPTA</w:t>
            </w:r>
          </w:p>
        </w:tc>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ANTHONY FOLGER</w:t>
            </w:r>
          </w:p>
        </w:tc>
      </w:tr>
      <w:tr>
        <w:trPr>
          <w:trHeight w:val="219"/>
        </w:trPr>
        <w:tc>
          <w:tcPr>
            <w:tcW w:w="3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3220" w:type="dxa"/>
            <w:vAlign w:val="bottom"/>
          </w:tcPr>
          <w:p>
            <w:pPr>
              <w:spacing w:after="0"/>
              <w:rPr>
                <w:sz w:val="19"/>
                <w:szCs w:val="19"/>
                <w:color w:val="auto"/>
              </w:rPr>
            </w:pPr>
          </w:p>
        </w:tc>
        <w:tc>
          <w:tcPr>
            <w:tcW w:w="4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421"/>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Date:   January 20, 2026</w:t>
            </w:r>
          </w:p>
        </w:tc>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January 20, 2026</w:t>
            </w:r>
          </w:p>
        </w:tc>
      </w:tr>
    </w:tbl>
    <w:p>
      <w:pPr>
        <w:spacing w:after="0" w:line="1" w:lineRule="exact"/>
        <w:rPr>
          <w:sz w:val="20"/>
          <w:szCs w:val="20"/>
          <w:color w:val="auto"/>
        </w:rPr>
      </w:pP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lvl w:ilvl="1">
      <w:lvlJc w:val="left"/>
      <w:lvlText w:val="\endash "/>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lowerRoman"/>
      <w:start w:val="1"/>
    </w:lvl>
  </w:abstractNum>
  <w:abstractNum w:abstractNumId="13">
    <w:nsid w:val="3006C83E"/>
    <w:multiLevelType w:val="hybridMultilevel"/>
    <w:lvl w:ilvl="0">
      <w:lvlJc w:val="left"/>
      <w:lvlText w:val="(%1)"/>
      <w:numFmt w:val="lowerRoman"/>
      <w:start w:val="4"/>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
      <w:numFmt w:val="bullet"/>
      <w:start w:val="1"/>
    </w:lvl>
    <w:lvl w:ilvl="1">
      <w:lvlJc w:val="left"/>
      <w:lvlText w:val="%2"/>
      <w:numFmt w:val="decimal"/>
      <w:start w:val="104"/>
    </w:lvl>
  </w:abstractNum>
  <w:abstractNum w:abstractNumId="20">
    <w:nsid w:val="77465F01"/>
    <w:multiLevelType w:val="hybridMultilevel"/>
    <w:lvl w:ilvl="0">
      <w:lvlJc w:val="left"/>
      <w:lvlText w:val="**"/>
      <w:numFmt w:val="bullet"/>
      <w:start w:val="1"/>
    </w:lvl>
    <w:lvl w:ilvl="1">
      <w:lvlJc w:val="left"/>
      <w:lvlText w:val="%2"/>
      <w:numFmt w:val="decimal"/>
      <w:start w:val="1"/>
    </w:lvl>
  </w:abstractNum>
  <w:abstractNum w:abstractNumId="21">
    <w:nsid w:val="7724C67E"/>
    <w:multiLevelType w:val="hybridMultilevel"/>
    <w:lvl w:ilvl="0">
      <w:lvlJc w:val="left"/>
      <w:lvlText w:val="***"/>
      <w:numFmt w:val="bullet"/>
      <w:start w:val="1"/>
    </w:lvl>
    <w:lvl w:ilvl="1">
      <w:lvlJc w:val="left"/>
      <w:lvlText w:val="%2"/>
      <w:numFmt w:val="decimal"/>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2"/>
    </w:lvl>
    <w:lvl w:ilvl="1">
      <w:lvlJc w:val="left"/>
      <w:lvlText w:val="%2."/>
      <w:numFmt w:val="lowerLetter"/>
      <w:start w:val="1"/>
    </w:lvl>
  </w:abstractNum>
  <w:abstractNum w:abstractNumId="25">
    <w:nsid w:val="51EAD36B"/>
    <w:multiLevelType w:val="hybridMultilevel"/>
    <w:lvl w:ilvl="0">
      <w:lvlJc w:val="left"/>
      <w:lvlText w:val="%1."/>
      <w:numFmt w:val="decimal"/>
      <w:start w:val="3"/>
    </w:lvl>
    <w:lvl w:ilvl="1">
      <w:lvlJc w:val="left"/>
      <w:lvlText w:val="%2."/>
      <w:numFmt w:val="lowerLetter"/>
      <w:start w:val="1"/>
    </w:lvl>
  </w:abstractNum>
  <w:abstractNum w:abstractNumId="26">
    <w:nsid w:val="2D517796"/>
    <w:multiLevelType w:val="hybridMultilevel"/>
    <w:lvl w:ilvl="0">
      <w:lvlJc w:val="left"/>
      <w:lvlText w:val="%1."/>
      <w:numFmt w:val="decimal"/>
      <w:start w:val="6"/>
    </w:lvl>
  </w:abstractNum>
  <w:abstractNum w:abstractNumId="27">
    <w:nsid w:val="580BD78F"/>
    <w:multiLevelType w:val="hybridMultilevel"/>
    <w:lvl w:ilvl="0">
      <w:lvlJc w:val="left"/>
      <w:lvlText w:val="%1."/>
      <w:numFmt w:val="upperLetter"/>
      <w:start w:val="1"/>
    </w:lvl>
  </w:abstractNum>
  <w:abstractNum w:abstractNumId="28">
    <w:nsid w:val="153EA438"/>
    <w:multiLevelType w:val="hybridMultilevel"/>
    <w:lvl w:ilvl="0">
      <w:lvlJc w:val="left"/>
      <w:lvlText w:val="%1."/>
      <w:numFmt w:val="decimal"/>
      <w:start w:val="1"/>
    </w:lvl>
    <w:lvl w:ilvl="1">
      <w:lvlJc w:val="left"/>
      <w:lvlText w:val="(%2)"/>
      <w:numFmt w:val="decimal"/>
      <w:start w:val="24"/>
    </w:lvl>
    <w:lvl w:ilvl="2">
      <w:lvlJc w:val="left"/>
      <w:lvlText w:val="%3."/>
      <w:numFmt w:val="lowerLetter"/>
      <w:start w:val="1"/>
    </w:lvl>
  </w:abstractNum>
  <w:abstractNum w:abstractNumId="29">
    <w:nsid w:val="3855585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
    <w:nsid w:val="70A64E2A"/>
    <w:multiLevelType w:val="hybridMultilevel"/>
    <w:lvl w:ilvl="0">
      <w:lvlJc w:val="left"/>
      <w:lvlText w:val="%1."/>
      <w:numFmt w:val="lowerRoman"/>
      <w:start w:val="2"/>
    </w:lvl>
  </w:abstractNum>
  <w:abstractNum w:abstractNumId="31">
    <w:nsid w:val="6A2342EC"/>
    <w:multiLevelType w:val="hybridMultilevel"/>
    <w:lvl w:ilvl="0">
      <w:lvlJc w:val="left"/>
      <w:lvlText w:val="a"/>
      <w:numFmt w:val="bullet"/>
      <w:start w:val="1"/>
    </w:lvl>
  </w:abstractNum>
  <w:abstractNum w:abstractNumId="32">
    <w:nsid w:val="2A487CB0"/>
    <w:multiLevelType w:val="hybridMultilevel"/>
    <w:lvl w:ilvl="0">
      <w:lvlJc w:val="left"/>
      <w:lvlText w:val="b"/>
      <w:numFmt w:val="bullet"/>
      <w:start w:val="1"/>
    </w:lvl>
  </w:abstractNum>
  <w:abstractNum w:abstractNumId="33">
    <w:nsid w:val="1D4ED43B"/>
    <w:multiLevelType w:val="hybridMultilevel"/>
    <w:lvl w:ilvl="0">
      <w:lvlJc w:val="left"/>
      <w:lvlText w:val="c"/>
      <w:numFmt w:val="bullet"/>
      <w:start w:val="1"/>
    </w:lvl>
  </w:abstractNum>
  <w:abstractNum w:abstractNumId="34">
    <w:nsid w:val="725A06FB"/>
    <w:multiLevelType w:val="hybridMultilevel"/>
    <w:lvl w:ilvl="0">
      <w:lvlJc w:val="left"/>
      <w:lvlText w:val="d"/>
      <w:numFmt w:val="bullet"/>
      <w:start w:val="1"/>
    </w:lvl>
  </w:abstractNum>
  <w:abstractNum w:abstractNumId="35">
    <w:nsid w:val="2CD89A32"/>
    <w:multiLevelType w:val="hybridMultilevel"/>
    <w:lvl w:ilvl="0">
      <w:lvlJc w:val="left"/>
      <w:lvlText w:val="e"/>
      <w:numFmt w:val="bullet"/>
      <w:start w:val="1"/>
    </w:lvl>
  </w:abstractNum>
  <w:abstractNum w:abstractNumId="36">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37">
    <w:nsid w:val="7A6D8D3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38">
    <w:nsid w:val="4B588F5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9">
    <w:nsid w:val="542289EC"/>
    <w:multiLevelType w:val="hybridMultilevel"/>
    <w:lvl w:ilvl="0">
      <w:lvlJc w:val="left"/>
      <w:lvlText w:val="%1."/>
      <w:numFmt w:val="lowerRoman"/>
      <w:start w:val="3"/>
    </w:lvl>
  </w:abstractNum>
  <w:abstractNum w:abstractNumId="40">
    <w:nsid w:val="6DE91B18"/>
    <w:multiLevelType w:val="hybridMultilevel"/>
    <w:lvl w:ilvl="0">
      <w:lvlJc w:val="left"/>
      <w:lvlText w:val="%1"/>
      <w:numFmt w:val="lowerLetter"/>
      <w:start w:val="1"/>
    </w:lvl>
    <w:lvl w:ilvl="1">
      <w:lvlJc w:val="left"/>
      <w:lvlText w:val="%2."/>
      <w:numFmt w:val="lowerRoman"/>
      <w:start w:val="4"/>
    </w:lvl>
  </w:abstractNum>
  <w:abstractNum w:abstractNumId="41">
    <w:nsid w:val="38437FDB"/>
    <w:multiLevelType w:val="hybridMultilevel"/>
    <w:lvl w:ilvl="0">
      <w:lvlJc w:val="left"/>
      <w:lvlText w:val="%1."/>
      <w:numFmt w:val="lowerLetter"/>
      <w:start w:val="2"/>
    </w:lvl>
    <w:lvl w:ilvl="1">
      <w:lvlJc w:val="left"/>
      <w:lvlText w:val="%2"/>
      <w:numFmt w:val="lowerRoman"/>
      <w:start w:val="1"/>
    </w:lvl>
  </w:abstractNum>
  <w:abstractNum w:abstractNumId="42">
    <w:nsid w:val="7644A45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3">
    <w:nsid w:val="32FFF90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4">
    <w:nsid w:val="684A481A"/>
    <w:multiLevelType w:val="hybridMultilevel"/>
    <w:lvl w:ilvl="0">
      <w:lvlJc w:val="left"/>
      <w:lvlText w:val="%1"/>
      <w:numFmt w:val="decimal"/>
      <w:start w:val="1"/>
    </w:lvl>
    <w:lvl w:ilvl="1">
      <w:lvlJc w:val="left"/>
      <w:lvlText w:val="%2."/>
      <w:numFmt w:val="lowerRoman"/>
      <w:start w:val="2"/>
    </w:lvl>
  </w:abstractNum>
  <w:abstractNum w:abstractNumId="45">
    <w:nsid w:val="579478FE"/>
    <w:multiLevelType w:val="hybridMultilevel"/>
    <w:lvl w:ilvl="0">
      <w:lvlJc w:val="left"/>
      <w:lvlText w:val="%1."/>
      <w:numFmt w:val="decimal"/>
      <w:start w:val="6"/>
    </w:lvl>
    <w:lvl w:ilvl="1">
      <w:lvlJc w:val="left"/>
      <w:lvlText w:val="%2"/>
      <w:numFmt w:val="lowerRoman"/>
      <w:start w:val="1"/>
    </w:lvl>
  </w:abstractNum>
  <w:abstractNum w:abstractNumId="46">
    <w:nsid w:val="749ABB43"/>
    <w:multiLevelType w:val="hybridMultilevel"/>
    <w:lvl w:ilvl="0">
      <w:lvlJc w:val="left"/>
      <w:lvlText w:val="%1."/>
      <w:numFmt w:val="decimal"/>
      <w:start w:val="7"/>
    </w:lvl>
    <w:lvl w:ilvl="1">
      <w:lvlJc w:val="left"/>
      <w:lvlText w:val="%2."/>
      <w:numFmt w:val="lowerLetter"/>
      <w:start w:val="1"/>
    </w:lvl>
  </w:abstractNum>
  <w:abstractNum w:abstractNumId="47">
    <w:nsid w:val="3DC240FB"/>
    <w:multiLevelType w:val="hybridMultilevel"/>
    <w:lvl w:ilvl="0">
      <w:lvlJc w:val="left"/>
      <w:lvlText w:val="%1"/>
      <w:numFmt w:val="decimal"/>
      <w:start w:val="1"/>
    </w:lvl>
    <w:lvl w:ilvl="1">
      <w:lvlJc w:val="left"/>
      <w:lvlText w:val="%2."/>
      <w:numFmt w:val="lowerLetter"/>
      <w:start w:val="3"/>
    </w:lvl>
  </w:abstractNum>
  <w:abstractNum w:abstractNumId="48">
    <w:nsid w:val="1BA026FA"/>
    <w:multiLevelType w:val="hybridMultilevel"/>
    <w:lvl w:ilvl="0">
      <w:lvlJc w:val="left"/>
      <w:lvlText w:val="%1."/>
      <w:numFmt w:val="decimal"/>
      <w:start w:val="9"/>
    </w:lvl>
    <w:lvl w:ilvl="1">
      <w:lvlJc w:val="left"/>
      <w:lvlText w:val="%2."/>
      <w:numFmt w:val="lowerLetter"/>
      <w:start w:val="1"/>
    </w:lvl>
  </w:abstractNum>
  <w:abstractNum w:abstractNumId="49">
    <w:nsid w:val="79A1DEAA"/>
    <w:multiLevelType w:val="hybridMultilevel"/>
    <w:lvl w:ilvl="0">
      <w:lvlJc w:val="left"/>
      <w:lvlText w:val="%1."/>
      <w:numFmt w:val="lowerLetter"/>
      <w:start w:val="6"/>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2026-03-25T16:11:13Z</dcterms:created>
  <dcterms:modified xsi:type="dcterms:W3CDTF">2026-03-25T16:11:13Z</dcterms:modified>
</cp:coreProperties>
</file>