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8799.xml.htm"/>
      <w:bookmarkStart w:id="1" w:name="kswkform4_17833687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EGAN JOHN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PROGRESS SOFTWARE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WAYSIDE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PROGRESS SOFTWARE CORP /MA</w:t>
              </w:r>
            </w:hyperlink>
            <w:r>
              <w:rPr/>
              <w:t xml:space="preserve"> [ </w:t>
            </w:r>
            <w:r>
              <w:rPr>
                <w:rFonts w:ascii="Times;serif" w:hAnsi="Times;serif"/>
                <w:color w:val="0000FF"/>
                <w:sz w:val="24"/>
                <w:shd w:fill="FFFFFF" w:val="clear"/>
              </w:rPr>
              <w:t>PRGS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5,857</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38.42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57,174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issued to the Reporting Person by Progress Software Corporation (the "Company") as the fiscal year 2026 equity retainer for the Reporting Person's services as a director of the Company during such period. These restricted stock units were issued in accordance with the Company's Director Compensation Plan pursuant to the Company's 2008 Stock Option and Incentive Plan and are payable upon vest on a one-for-one basis exclusively in common stock on the earlier of a change in control of the Company or the date of the Company's 2027 Annual Meeting of Stockholders, subject to the Reporting Person's continued service on the board of directors of the Company until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Anthony Folger,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9174" TargetMode="External"/><Relationship Id="rId5" Type="http://schemas.openxmlformats.org/officeDocument/2006/relationships/hyperlink" Target="http://www.sec.gov/cgi-bin/browse-edgar?action=getcompany&amp;CIK=00008761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3672</Characters>
  <CharactersWithSpaces>4289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