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83820</wp:posOffset>
            </wp:positionV>
            <wp:extent cx="11430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99060</wp:posOffset>
            </wp:positionV>
            <wp:extent cx="11430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 xml:space="preserve">Date of Report (Date of earliest event reported): </w:t>
      </w:r>
      <w:r>
        <w:rPr>
          <w:rFonts w:ascii="Times New Roman" w:cs="Times New Roman" w:eastAsia="Times New Roman" w:hAnsi="Times New Roman"/>
          <w:sz w:val="14"/>
          <w:szCs w:val="14"/>
          <w:b w:val="1"/>
          <w:bCs w:val="1"/>
          <w:color w:val="auto"/>
        </w:rPr>
        <w:t>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196215</wp:posOffset>
            </wp:positionV>
            <wp:extent cx="11430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Progress Software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3001010</wp:posOffset>
            </wp:positionH>
            <wp:positionV relativeFrom="paragraph">
              <wp:posOffset>96520</wp:posOffset>
            </wp:positionV>
            <wp:extent cx="11430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360" w:lineRule="exact"/>
        <w:rPr>
          <w:sz w:val="24"/>
          <w:szCs w:val="24"/>
          <w:color w:val="auto"/>
        </w:rPr>
      </w:pPr>
    </w:p>
    <w:tbl>
      <w:tblPr>
        <w:tblLayout w:type="fixed"/>
        <w:tblInd w:w="2580" w:type="dxa"/>
        <w:tblCellMar>
          <w:top w:w="0" w:type="dxa"/>
          <w:left w:w="0" w:type="dxa"/>
          <w:bottom w:w="0" w:type="dxa"/>
          <w:right w:w="0" w:type="dxa"/>
        </w:tblCellMar>
      </w:tblPr>
      <w:tr>
        <w:trPr>
          <w:trHeight w:val="159"/>
        </w:trPr>
        <w:tc>
          <w:tcPr>
            <w:tcW w:w="2500" w:type="dxa"/>
            <w:vAlign w:val="bottom"/>
          </w:tcPr>
          <w:p>
            <w:pPr>
              <w:jc w:val="center"/>
              <w:ind w:right="106"/>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1560" w:type="dxa"/>
            <w:vAlign w:val="bottom"/>
          </w:tcPr>
          <w:p>
            <w:pPr>
              <w:jc w:val="right"/>
              <w:ind w:right="606"/>
              <w:spacing w:after="0"/>
              <w:rPr>
                <w:sz w:val="20"/>
                <w:szCs w:val="20"/>
                <w:color w:val="auto"/>
              </w:rPr>
            </w:pPr>
            <w:r>
              <w:rPr>
                <w:rFonts w:ascii="Times New Roman" w:cs="Times New Roman" w:eastAsia="Times New Roman" w:hAnsi="Times New Roman"/>
                <w:sz w:val="12"/>
                <w:szCs w:val="12"/>
                <w:b w:val="1"/>
                <w:bCs w:val="1"/>
                <w:color w:val="auto"/>
              </w:rPr>
              <w:t>0-19417</w:t>
            </w:r>
          </w:p>
        </w:tc>
        <w:tc>
          <w:tcPr>
            <w:tcW w:w="1740" w:type="dxa"/>
            <w:vAlign w:val="bottom"/>
          </w:tcPr>
          <w:p>
            <w:pPr>
              <w:jc w:val="center"/>
              <w:ind w:left="266"/>
              <w:spacing w:after="0"/>
              <w:rPr>
                <w:sz w:val="20"/>
                <w:szCs w:val="20"/>
                <w:color w:val="auto"/>
              </w:rPr>
            </w:pPr>
            <w:r>
              <w:rPr>
                <w:rFonts w:ascii="Times New Roman" w:cs="Times New Roman" w:eastAsia="Times New Roman" w:hAnsi="Times New Roman"/>
                <w:sz w:val="12"/>
                <w:szCs w:val="12"/>
                <w:b w:val="1"/>
                <w:bCs w:val="1"/>
                <w:color w:val="auto"/>
                <w:w w:val="99"/>
              </w:rPr>
              <w:t>04-2746201</w:t>
            </w:r>
          </w:p>
        </w:tc>
      </w:tr>
      <w:tr>
        <w:trPr>
          <w:trHeight w:val="127"/>
        </w:trPr>
        <w:tc>
          <w:tcPr>
            <w:tcW w:w="2500" w:type="dxa"/>
            <w:vAlign w:val="bottom"/>
          </w:tcPr>
          <w:p>
            <w:pPr>
              <w:jc w:val="center"/>
              <w:ind w:right="106"/>
              <w:spacing w:after="0"/>
              <w:rPr>
                <w:sz w:val="20"/>
                <w:szCs w:val="20"/>
                <w:color w:val="auto"/>
              </w:rPr>
            </w:pPr>
            <w:r>
              <w:rPr>
                <w:rFonts w:ascii="Times New Roman" w:cs="Times New Roman" w:eastAsia="Times New Roman" w:hAnsi="Times New Roman"/>
                <w:sz w:val="10"/>
                <w:szCs w:val="10"/>
                <w:color w:val="auto"/>
                <w:w w:val="96"/>
              </w:rPr>
              <w:t>(State or other jurisdiction of incorporation or organization)</w:t>
            </w:r>
          </w:p>
        </w:tc>
        <w:tc>
          <w:tcPr>
            <w:tcW w:w="1560" w:type="dxa"/>
            <w:vAlign w:val="bottom"/>
          </w:tcPr>
          <w:p>
            <w:pPr>
              <w:jc w:val="center"/>
              <w:ind w:right="106"/>
              <w:spacing w:after="0"/>
              <w:rPr>
                <w:sz w:val="20"/>
                <w:szCs w:val="20"/>
                <w:color w:val="auto"/>
              </w:rPr>
            </w:pPr>
            <w:r>
              <w:rPr>
                <w:rFonts w:ascii="Times New Roman" w:cs="Times New Roman" w:eastAsia="Times New Roman" w:hAnsi="Times New Roman"/>
                <w:sz w:val="10"/>
                <w:szCs w:val="10"/>
                <w:color w:val="auto"/>
                <w:w w:val="94"/>
              </w:rPr>
              <w:t>(Commission file number)</w:t>
            </w:r>
          </w:p>
        </w:tc>
        <w:tc>
          <w:tcPr>
            <w:tcW w:w="1740" w:type="dxa"/>
            <w:vAlign w:val="bottom"/>
          </w:tcPr>
          <w:p>
            <w:pPr>
              <w:jc w:val="center"/>
              <w:ind w:left="286"/>
              <w:spacing w:after="0"/>
              <w:rPr>
                <w:sz w:val="20"/>
                <w:szCs w:val="20"/>
                <w:color w:val="auto"/>
              </w:rPr>
            </w:pPr>
            <w:r>
              <w:rPr>
                <w:rFonts w:ascii="Times New Roman" w:cs="Times New Roman" w:eastAsia="Times New Roman" w:hAnsi="Times New Roman"/>
                <w:sz w:val="10"/>
                <w:szCs w:val="10"/>
                <w:color w:val="auto"/>
                <w:w w:val="96"/>
              </w:rPr>
              <w:t>(I.R.S. Employer Identification No.)</w:t>
            </w:r>
          </w:p>
        </w:tc>
      </w:tr>
      <w:tr>
        <w:trPr>
          <w:trHeight w:val="296"/>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15 Wayside Road, Suite 400, Burlington, Massachusetts</w:t>
            </w:r>
          </w:p>
        </w:tc>
        <w:tc>
          <w:tcPr>
            <w:tcW w:w="1740" w:type="dxa"/>
            <w:vAlign w:val="bottom"/>
          </w:tcPr>
          <w:p>
            <w:pPr>
              <w:jc w:val="center"/>
              <w:ind w:left="266"/>
              <w:spacing w:after="0"/>
              <w:rPr>
                <w:sz w:val="20"/>
                <w:szCs w:val="20"/>
                <w:color w:val="auto"/>
              </w:rPr>
            </w:pPr>
            <w:r>
              <w:rPr>
                <w:rFonts w:ascii="Times New Roman" w:cs="Times New Roman" w:eastAsia="Times New Roman" w:hAnsi="Times New Roman"/>
                <w:sz w:val="12"/>
                <w:szCs w:val="12"/>
                <w:b w:val="1"/>
                <w:bCs w:val="1"/>
                <w:color w:val="auto"/>
                <w:w w:val="99"/>
              </w:rPr>
              <w:t>01803</w:t>
            </w:r>
          </w:p>
        </w:tc>
      </w:tr>
      <w:tr>
        <w:trPr>
          <w:trHeight w:val="127"/>
        </w:trPr>
        <w:tc>
          <w:tcPr>
            <w:tcW w:w="250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(Address of principal executive offices)</w:t>
            </w:r>
          </w:p>
        </w:tc>
        <w:tc>
          <w:tcPr>
            <w:tcW w:w="1560" w:type="dxa"/>
            <w:vAlign w:val="bottom"/>
          </w:tcPr>
          <w:p>
            <w:pPr>
              <w:spacing w:after="0"/>
              <w:rPr>
                <w:sz w:val="11"/>
                <w:szCs w:val="11"/>
                <w:color w:val="auto"/>
              </w:rPr>
            </w:pPr>
          </w:p>
        </w:tc>
        <w:tc>
          <w:tcPr>
            <w:tcW w:w="1740" w:type="dxa"/>
            <w:vAlign w:val="bottom"/>
          </w:tcPr>
          <w:p>
            <w:pPr>
              <w:jc w:val="center"/>
              <w:ind w:left="266"/>
              <w:spacing w:after="0"/>
              <w:rPr>
                <w:sz w:val="20"/>
                <w:szCs w:val="20"/>
                <w:color w:val="auto"/>
              </w:rPr>
            </w:pPr>
            <w:r>
              <w:rPr>
                <w:rFonts w:ascii="Times New Roman" w:cs="Times New Roman" w:eastAsia="Times New Roman" w:hAnsi="Times New Roman"/>
                <w:sz w:val="10"/>
                <w:szCs w:val="10"/>
                <w:color w:val="auto"/>
              </w:rPr>
              <w:t>(Zip code)</w:t>
            </w:r>
          </w:p>
        </w:tc>
      </w:tr>
    </w:tbl>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 xml:space="preserve">Registrant’s telephone number, including area code: </w:t>
      </w:r>
      <w:r>
        <w:rPr>
          <w:rFonts w:ascii="Times New Roman" w:cs="Times New Roman" w:eastAsia="Times New Roman" w:hAnsi="Times New Roman"/>
          <w:sz w:val="11"/>
          <w:szCs w:val="11"/>
          <w:b w:val="1"/>
          <w:bCs w:val="1"/>
          <w:color w:val="auto"/>
        </w:rPr>
        <w:t>(781) 280-4000</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3001010</wp:posOffset>
            </wp:positionH>
            <wp:positionV relativeFrom="paragraph">
              <wp:posOffset>96520</wp:posOffset>
            </wp:positionV>
            <wp:extent cx="11430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90" w:lineRule="exact"/>
        <w:rPr>
          <w:sz w:val="24"/>
          <w:szCs w:val="24"/>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107" w:lineRule="exact"/>
        <w:rPr>
          <w:rFonts w:ascii="MS PGothic" w:cs="MS PGothic" w:eastAsia="MS PGothic" w:hAnsi="MS PGothic"/>
          <w:sz w:val="12"/>
          <w:szCs w:val="12"/>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98" w:lineRule="exact"/>
        <w:rPr>
          <w:rFonts w:ascii="MS PGothic" w:cs="MS PGothic" w:eastAsia="MS PGothic" w:hAnsi="MS PGothic"/>
          <w:sz w:val="12"/>
          <w:szCs w:val="12"/>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07" w:lineRule="exact"/>
        <w:rPr>
          <w:rFonts w:ascii="MS PGothic" w:cs="MS PGothic" w:eastAsia="MS PGothic" w:hAnsi="MS PGothic"/>
          <w:sz w:val="12"/>
          <w:szCs w:val="12"/>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4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80" w:type="dxa"/>
            <w:vAlign w:val="bottom"/>
          </w:tcPr>
          <w:p>
            <w:pPr>
              <w:spacing w:after="0"/>
              <w:rPr>
                <w:sz w:val="12"/>
                <w:szCs w:val="12"/>
                <w:color w:val="auto"/>
              </w:rPr>
            </w:pPr>
          </w:p>
        </w:tc>
      </w:tr>
      <w:tr>
        <w:trPr>
          <w:trHeight w:val="218"/>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28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Name of each exchange on which registered</w:t>
            </w:r>
          </w:p>
        </w:tc>
      </w:tr>
      <w:tr>
        <w:trPr>
          <w:trHeight w:val="133"/>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Common Stock, $0.01 par value per share</w:t>
            </w:r>
          </w:p>
        </w:tc>
        <w:tc>
          <w:tcPr>
            <w:tcW w:w="80" w:type="dxa"/>
            <w:vAlign w:val="bottom"/>
          </w:tcPr>
          <w:p>
            <w:pPr>
              <w:spacing w:after="0"/>
              <w:rPr>
                <w:sz w:val="11"/>
                <w:szCs w:val="11"/>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PRGS</w:t>
            </w:r>
          </w:p>
        </w:tc>
        <w:tc>
          <w:tcPr>
            <w:tcW w:w="60" w:type="dxa"/>
            <w:vAlign w:val="bottom"/>
          </w:tcPr>
          <w:p>
            <w:pPr>
              <w:spacing w:after="0"/>
              <w:rPr>
                <w:sz w:val="11"/>
                <w:szCs w:val="11"/>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The Nasdaq Stock Market LLC</w:t>
            </w:r>
          </w:p>
        </w:tc>
      </w:tr>
    </w:tbl>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jc w:val="right"/>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 w:lineRule="exact"/>
        <w:rPr>
          <w:sz w:val="24"/>
          <w:szCs w:val="24"/>
          <w:color w:val="auto"/>
        </w:rPr>
      </w:pPr>
    </w:p>
    <w:p>
      <w:pPr>
        <w:jc w:val="right"/>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375920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3"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72"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On June 30, 2026, Progress Software Corporation ("Progress") issued a press release announcing its financial results for the fiscal second quarter ended May 31, 2026. A copy of the press release is attached to this Current Report on Form 8-K as Exhibit 99.1 and is incorporated herein by reference.</w:t>
      </w:r>
    </w:p>
    <w:p>
      <w:pPr>
        <w:spacing w:after="0" w:line="12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information furnished pursuant to this Item 2.02, including Exhibit 99.1, shall not be deemed "filed" for purposes of Section 18 of the Securities Exchange Act of 1934, as amended (the "Exchange Act"), or otherwise subject to the liability of that Section, and shall not be incorporated by reference into any other filing by Progress under the Securities Act of 1933, as amended (the "Securities Act"), or the Exchange Act, except as shall be expressly set forth by specific reference in such a filing.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7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In connection with the issuance of the press release attached hereto as Exhibit 99.1, the supplemental data attached as Exhibit 99.2 to this Current Report will be available on the Progress website within the investor relations section prior to the live conference call.</w:t>
      </w:r>
    </w:p>
    <w:p>
      <w:pPr>
        <w:spacing w:after="0" w:line="129"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The information furnished pursuant to this Item 7.01, including Exhibit 99.2, shall not be deemed "filed" for purposes of Section 18 of the Exchange Act, or otherwise subject to the liability of that Section, and shall not be incorporated by reference into any other filing by Progress under the Securities Act or the Exchange Act, except as shall be expressly set forth by specific reference in such a filing.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 Exhibits.</w:t>
            </w: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34"/>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20" w:type="dxa"/>
            <w:vAlign w:val="bottom"/>
          </w:tcPr>
          <w:p>
            <w:pPr>
              <w:spacing w:after="0"/>
              <w:rPr>
                <w:sz w:val="20"/>
                <w:szCs w:val="20"/>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15"/>
        </w:trPr>
        <w:tc>
          <w:tcPr>
            <w:tcW w:w="118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980" w:type="dxa"/>
            <w:vAlign w:val="bottom"/>
            <w:tcBorders>
              <w:top w:val="single" w:sz="8" w:color="auto"/>
            </w:tcBorders>
            <w:gridSpan w:val="3"/>
          </w:tcPr>
          <w:p>
            <w:pPr>
              <w:spacing w:after="0" w:line="115" w:lineRule="exact"/>
              <w:rPr>
                <w:sz w:val="20"/>
                <w:szCs w:val="20"/>
                <w:color w:val="auto"/>
              </w:rPr>
            </w:pPr>
            <w:r>
              <w:rPr>
                <w:rFonts w:ascii="Times New Roman" w:cs="Times New Roman" w:eastAsia="Times New Roman" w:hAnsi="Times New Roman"/>
                <w:sz w:val="12"/>
                <w:szCs w:val="12"/>
                <w:color w:val="0000FF"/>
              </w:rPr>
              <w:t>Press release issued by Progress Software Corporation dated June 30, 2026</w:t>
            </w:r>
          </w:p>
        </w:tc>
        <w:tc>
          <w:tcPr>
            <w:tcW w:w="40" w:type="dxa"/>
            <w:vAlign w:val="bottom"/>
          </w:tcPr>
          <w:p>
            <w:pPr>
              <w:spacing w:after="0"/>
              <w:rPr>
                <w:sz w:val="10"/>
                <w:szCs w:val="10"/>
                <w:color w:val="auto"/>
              </w:rPr>
            </w:pPr>
          </w:p>
        </w:tc>
      </w:tr>
      <w:tr>
        <w:trPr>
          <w:trHeight w:val="133"/>
        </w:trPr>
        <w:tc>
          <w:tcPr>
            <w:tcW w:w="11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0" w:type="dxa"/>
            <w:vAlign w:val="bottom"/>
            <w:tcBorders>
              <w:top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rPr>
              <w:t>Q2 2026 Supplemental Data</w:t>
            </w:r>
          </w:p>
        </w:tc>
        <w:tc>
          <w:tcPr>
            <w:tcW w:w="6420" w:type="dxa"/>
            <w:vAlign w:val="bottom"/>
            <w:gridSpan w:val="2"/>
          </w:tcPr>
          <w:p>
            <w:pPr>
              <w:spacing w:after="0"/>
              <w:rPr>
                <w:sz w:val="11"/>
                <w:szCs w:val="1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660" w:type="dxa"/>
            <w:vAlign w:val="bottom"/>
            <w:gridSpan w:val="3"/>
          </w:tcPr>
          <w:p>
            <w:pPr>
              <w:spacing w:after="0" w:line="20" w:lineRule="exact"/>
              <w:rPr>
                <w:sz w:val="1"/>
                <w:szCs w:val="1"/>
                <w:color w:val="auto"/>
              </w:rPr>
            </w:pPr>
          </w:p>
        </w:tc>
      </w:tr>
      <w:tr>
        <w:trPr>
          <w:trHeight w:val="160"/>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39"/>
        </w:trPr>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3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June 30, 2026</w:t>
            </w:r>
          </w:p>
        </w:tc>
        <w:tc>
          <w:tcPr>
            <w:tcW w:w="7380" w:type="dxa"/>
            <w:vAlign w:val="bottom"/>
            <w:gridSpan w:val="2"/>
          </w:tcPr>
          <w:p>
            <w:pPr>
              <w:ind w:left="2480"/>
              <w:spacing w:after="0"/>
              <w:rPr>
                <w:sz w:val="20"/>
                <w:szCs w:val="20"/>
                <w:color w:val="auto"/>
              </w:rPr>
            </w:pPr>
            <w:r>
              <w:rPr>
                <w:rFonts w:ascii="Times New Roman" w:cs="Times New Roman" w:eastAsia="Times New Roman" w:hAnsi="Times New Roman"/>
                <w:sz w:val="12"/>
                <w:szCs w:val="12"/>
                <w:color w:val="auto"/>
              </w:rPr>
              <w:t>Progress Software Corporation</w:t>
            </w:r>
          </w:p>
        </w:tc>
      </w:tr>
      <w:tr>
        <w:trPr>
          <w:trHeight w:val="333"/>
        </w:trPr>
        <w:tc>
          <w:tcPr>
            <w:tcW w:w="4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ANTHONY FOLGER</w:t>
            </w:r>
          </w:p>
        </w:tc>
      </w:tr>
      <w:tr>
        <w:trPr>
          <w:trHeight w:val="140"/>
        </w:trPr>
        <w:tc>
          <w:tcPr>
            <w:tcW w:w="4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Anthony Folger</w:t>
            </w:r>
          </w:p>
        </w:tc>
      </w:tr>
      <w:tr>
        <w:trPr>
          <w:trHeight w:val="155"/>
        </w:trPr>
        <w:tc>
          <w:tcPr>
            <w:tcW w:w="4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220"/>
          </w:cols>
          <w:pgMar w:left="300" w:top="557" w:right="379" w:bottom="1440" w:gutter="0" w:footer="0" w:header="0"/>
        </w:sectPr>
      </w:pPr>
    </w:p>
    <w:bookmarkStart w:id="3" w:name="page4"/>
    <w:bookmarkEnd w:id="3"/>
    <w:p>
      <w:pPr>
        <w:ind w:left="1050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914400" cy="280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1440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0033FF"/>
        </w:rPr>
        <w:t>P R E S S A N N O U N C E M E N 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Progress Software Announces Second Quarter 2026 Financial Results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Revenue of $253 million grew 7% year-over-year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Annualized Recurring Revenue ("ARR") of $868 million grew 2% year-over-year</w:t>
      </w:r>
    </w:p>
    <w:p>
      <w:pPr>
        <w:spacing w:after="0" w:line="15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BURLINGTON, Mass., June 30, 2026 </w:t>
      </w:r>
      <w:r>
        <w:rPr>
          <w:rFonts w:ascii="Times New Roman" w:cs="Times New Roman" w:eastAsia="Times New Roman" w:hAnsi="Times New Roman"/>
          <w:sz w:val="12"/>
          <w:szCs w:val="12"/>
          <w:color w:val="auto"/>
        </w:rPr>
        <w:t>— Progress Software (Nasdaq: PRGS), the trusted provider of AI-powered digital experience and infrastructure software, today announced financial results for its fiscal second quarter ended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May 31,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Second Quarter 2026 Highlights:</w:t>
      </w:r>
    </w:p>
    <w:p>
      <w:pPr>
        <w:spacing w:after="0" w:line="172"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of $253 million increased 7% year-over-year on an actual currency basis and 6% on a constant currency basis.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Recurring Revenue ("ARR") of $868 million increased 2% year-over-year on a constant currency basis.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margin was 18% and non-GAAP operating margin was 40%.</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Diluted earnings per share was $0.50 compared to $0.39 in the same quarter last year, an increase of 28%.</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diluted earnings per share was $1.62 compared to $1.40 in the same quarter last year, an increase of 16%.</w:t>
      </w:r>
    </w:p>
    <w:p>
      <w:pPr>
        <w:spacing w:after="0" w:line="148"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2"/>
          <w:szCs w:val="12"/>
          <w:color w:val="auto"/>
        </w:rPr>
        <w:t>"Q2 was another strong quarter for Progress, highlighted by broad-based demand across our portfolio and driven meaningfully by continued momentum in our AI-powered offerings," said Yogesh Gupta, CEO of Progress Software. "Our teams are executing well against our strategy, while maintaining the operational discipline that enables us to invest in innovation, strengthen the balance sheet, and continue to create long-term value for shareholders. As we look ahead, we remain confident that our customers will leverage our products to accelerate their AI and digital transformation initiatives."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Additional financial highlights included:</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1"/>
        </w:trPr>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2"/>
                <w:szCs w:val="12"/>
                <w:color w:val="auto"/>
              </w:rPr>
              <w:t>Three Months Ended</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2"/>
        </w:trPr>
        <w:tc>
          <w:tcPr>
            <w:tcW w:w="3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GAAP</w:t>
            </w: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Non-GAAP</w:t>
            </w:r>
          </w:p>
        </w:tc>
        <w:tc>
          <w:tcPr>
            <w:tcW w:w="1000" w:type="dxa"/>
            <w:vAlign w:val="bottom"/>
            <w:tcBorders>
              <w:bottom w:val="single" w:sz="8" w:color="auto"/>
            </w:tcBorders>
          </w:tcPr>
          <w:p>
            <w:pPr>
              <w:spacing w:after="0"/>
              <w:rPr>
                <w:sz w:val="12"/>
                <w:szCs w:val="12"/>
                <w:color w:val="auto"/>
              </w:rPr>
            </w:pPr>
          </w:p>
        </w:tc>
      </w:tr>
      <w:tr>
        <w:trPr>
          <w:trHeight w:val="142"/>
        </w:trPr>
        <w:tc>
          <w:tcPr>
            <w:tcW w:w="35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thousands, except percentages and per share amounts)</w:t>
            </w:r>
          </w:p>
        </w:tc>
        <w:tc>
          <w:tcPr>
            <w:tcW w:w="200" w:type="dxa"/>
            <w:vAlign w:val="bottom"/>
          </w:tcPr>
          <w:p>
            <w:pPr>
              <w:spacing w:after="0"/>
              <w:rPr>
                <w:sz w:val="12"/>
                <w:szCs w:val="12"/>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May 31, 2026</w:t>
            </w:r>
          </w:p>
        </w:tc>
        <w:tc>
          <w:tcPr>
            <w:tcW w:w="200" w:type="dxa"/>
            <w:vAlign w:val="bottom"/>
          </w:tcPr>
          <w:p>
            <w:pPr>
              <w:spacing w:after="0"/>
              <w:rPr>
                <w:sz w:val="12"/>
                <w:szCs w:val="12"/>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May 31, 2025</w:t>
            </w:r>
          </w:p>
        </w:tc>
        <w:tc>
          <w:tcPr>
            <w:tcW w:w="1000" w:type="dxa"/>
            <w:vAlign w:val="bottom"/>
          </w:tcPr>
          <w:p>
            <w:pPr>
              <w:jc w:val="right"/>
              <w:ind w:right="181"/>
              <w:spacing w:after="0"/>
              <w:rPr>
                <w:sz w:val="20"/>
                <w:szCs w:val="20"/>
                <w:color w:val="auto"/>
              </w:rPr>
            </w:pPr>
            <w:r>
              <w:rPr>
                <w:rFonts w:ascii="Times New Roman" w:cs="Times New Roman" w:eastAsia="Times New Roman" w:hAnsi="Times New Roman"/>
                <w:sz w:val="12"/>
                <w:szCs w:val="12"/>
                <w:i w:val="1"/>
                <w:iCs w:val="1"/>
                <w:color w:val="auto"/>
              </w:rPr>
              <w:t>% Change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May 31, 2026</w:t>
            </w:r>
          </w:p>
        </w:tc>
        <w:tc>
          <w:tcPr>
            <w:tcW w:w="140" w:type="dxa"/>
            <w:vAlign w:val="bottom"/>
          </w:tcPr>
          <w:p>
            <w:pPr>
              <w:spacing w:after="0"/>
              <w:rPr>
                <w:sz w:val="12"/>
                <w:szCs w:val="12"/>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May 31, 2025</w:t>
            </w:r>
          </w:p>
        </w:tc>
        <w:tc>
          <w:tcPr>
            <w:tcW w:w="1000" w:type="dxa"/>
            <w:vAlign w:val="bottom"/>
          </w:tcPr>
          <w:p>
            <w:pPr>
              <w:jc w:val="right"/>
              <w:ind w:right="181"/>
              <w:spacing w:after="0"/>
              <w:rPr>
                <w:sz w:val="20"/>
                <w:szCs w:val="20"/>
                <w:color w:val="auto"/>
              </w:rPr>
            </w:pPr>
            <w:r>
              <w:rPr>
                <w:rFonts w:ascii="Times New Roman" w:cs="Times New Roman" w:eastAsia="Times New Roman" w:hAnsi="Times New Roman"/>
                <w:sz w:val="12"/>
                <w:szCs w:val="12"/>
                <w:i w:val="1"/>
                <w:iCs w:val="1"/>
                <w:color w:val="auto"/>
              </w:rPr>
              <w:t>% Change</w:t>
            </w:r>
          </w:p>
        </w:tc>
      </w:tr>
      <w:tr>
        <w:trPr>
          <w:trHeight w:val="142"/>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253,465</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237,355</w:t>
            </w: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7 %</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253,465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237,355</w:t>
            </w: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7 %</w:t>
            </w:r>
          </w:p>
        </w:tc>
      </w:tr>
      <w:tr>
        <w:trPr>
          <w:trHeight w:val="153"/>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Income from operations</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45,202</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38,616</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17 %</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102,623</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95,461</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8 %</w:t>
            </w:r>
          </w:p>
        </w:tc>
      </w:tr>
      <w:tr>
        <w:trPr>
          <w:trHeight w:val="15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margin</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18 %</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200 bps</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40 %</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 bps</w:t>
            </w:r>
          </w:p>
        </w:tc>
      </w:tr>
      <w:tr>
        <w:trPr>
          <w:trHeight w:val="153"/>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21,073</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17,029</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24 %</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68,369</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61,749</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11 %</w:t>
            </w:r>
          </w:p>
        </w:tc>
      </w:tr>
      <w:tr>
        <w:trPr>
          <w:trHeight w:val="15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0.50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0.39</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28 %</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1.62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w:t>
            </w:r>
          </w:p>
        </w:tc>
      </w:tr>
      <w:tr>
        <w:trPr>
          <w:trHeight w:val="135"/>
        </w:trPr>
        <w:tc>
          <w:tcPr>
            <w:tcW w:w="35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Cash from operations (GAAP)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Pr>
          <w:p>
            <w:pPr>
              <w:jc w:val="right"/>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78,837</w:t>
            </w:r>
          </w:p>
        </w:tc>
        <w:tc>
          <w:tcPr>
            <w:tcW w:w="80" w:type="dxa"/>
            <w:vAlign w:val="bottom"/>
          </w:tcPr>
          <w:p>
            <w:pPr>
              <w:spacing w:after="0"/>
              <w:rPr>
                <w:sz w:val="11"/>
                <w:szCs w:val="11"/>
                <w:color w:val="auto"/>
              </w:rPr>
            </w:pPr>
          </w:p>
        </w:tc>
        <w:tc>
          <w:tcPr>
            <w:tcW w:w="200" w:type="dxa"/>
            <w:vAlign w:val="bottom"/>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29,996</w:t>
            </w: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163 %</w:t>
            </w:r>
          </w:p>
        </w:tc>
        <w:tc>
          <w:tcPr>
            <w:tcW w:w="80" w:type="dxa"/>
            <w:vAlign w:val="bottom"/>
          </w:tcPr>
          <w:p>
            <w:pPr>
              <w:spacing w:after="0"/>
              <w:rPr>
                <w:sz w:val="11"/>
                <w:szCs w:val="11"/>
                <w:color w:val="auto"/>
              </w:rPr>
            </w:pPr>
          </w:p>
        </w:tc>
        <w:tc>
          <w:tcPr>
            <w:tcW w:w="200" w:type="dxa"/>
            <w:vAlign w:val="bottom"/>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Pr>
          <w:p>
            <w:pPr>
              <w:jc w:val="right"/>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79,206</w:t>
            </w:r>
          </w:p>
        </w:tc>
        <w:tc>
          <w:tcPr>
            <w:tcW w:w="8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37,068</w:t>
            </w: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114 %</w:t>
            </w:r>
          </w:p>
        </w:tc>
      </w:tr>
      <w:tr>
        <w:trPr>
          <w:trHeight w:val="88"/>
        </w:trPr>
        <w:tc>
          <w:tcPr>
            <w:tcW w:w="35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Adjusted free cash flow (non-GAAP) / Unlevered free cash flow (non-</w:t>
            </w: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116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0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0" w:type="dxa"/>
            <w:vAlign w:val="bottom"/>
            <w:tcBorders>
              <w:bottom w:val="single" w:sz="8" w:color="CCEEFF"/>
            </w:tcBorders>
          </w:tcPr>
          <w:p>
            <w:pPr>
              <w:spacing w:after="0"/>
              <w:rPr>
                <w:sz w:val="7"/>
                <w:szCs w:val="7"/>
                <w:color w:val="auto"/>
              </w:rPr>
            </w:pPr>
          </w:p>
        </w:tc>
      </w:tr>
      <w:tr>
        <w:trPr>
          <w:trHeight w:val="153"/>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GAAP)</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rPr>
              <w:t>91,935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2"/>
                <w:szCs w:val="12"/>
                <w:color w:val="auto"/>
              </w:rPr>
              <w:t>51,579</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78 %</w:t>
            </w:r>
          </w:p>
        </w:tc>
      </w:tr>
    </w:tbl>
    <w:p>
      <w:pPr>
        <w:spacing w:after="0" w:line="212"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i w:val="1"/>
          <w:iCs w:val="1"/>
          <w:color w:val="auto"/>
        </w:rPr>
        <w:t>Important Information Regarding Non-GAAP Financial Measures, Liquidity Measures, and Select Performance Metrics</w:t>
      </w:r>
      <w:r>
        <w:rPr>
          <w:rFonts w:ascii="Times New Roman" w:cs="Times New Roman" w:eastAsia="Times New Roman" w:hAnsi="Times New Roman"/>
          <w:sz w:val="12"/>
          <w:szCs w:val="12"/>
          <w:color w:val="auto"/>
        </w:rPr>
        <w:t xml:space="preserve"> and a reconciliation of non-GAAP adjustments to Progress' GAAP financial results at the end of this press release.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fiscal second quarter 2026 metrics and recent results included:</w:t>
      </w:r>
    </w:p>
    <w:p>
      <w:pPr>
        <w:spacing w:after="0" w:line="172"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and cash equivalents were $103 million at the end of the quarter.</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Days sales outstanding was 49 days compared to 53 days in the fiscal second quarter of 2025 and 73 days in the fiscal fourth quarter of 2025.</w:t>
      </w:r>
    </w:p>
    <w:p>
      <w:pPr>
        <w:spacing w:after="0" w:line="15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Anthony Folger, Progress CFO, said: "Our Q2 revenues were ahead of expectations, and the outperformance was largely driven by the success of several AI powered product offerings. ARR growth was solid at 2% and our net retention rate was 100%. On the balance sheet, we paid down debt aggressively, bringing our trailing twelve-month net leverage ratio to 2.9X, and also repurchased another $35 million of shares during the quarter. We are currently well-positioned and our positive outlook is reflected in our increased guidance."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52"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9"/>
        </w:trPr>
        <w:tc>
          <w:tcPr>
            <w:tcW w:w="4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2026 Business Outlook</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788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Progress provides the following guidance for the fiscal year ending November 30, 2026 and the fiscal third quarter ending August 31, 2026:</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3560" w:type="dxa"/>
            <w:vAlign w:val="bottom"/>
            <w:gridSpan w:val="5"/>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Updated FY 2026 Guidance</w:t>
            </w:r>
          </w:p>
        </w:tc>
        <w:tc>
          <w:tcPr>
            <w:tcW w:w="80" w:type="dxa"/>
            <w:vAlign w:val="bottom"/>
          </w:tcPr>
          <w:p>
            <w:pPr>
              <w:spacing w:after="0"/>
              <w:rPr>
                <w:sz w:val="11"/>
                <w:szCs w:val="11"/>
                <w:color w:val="auto"/>
              </w:rPr>
            </w:pPr>
          </w:p>
        </w:tc>
        <w:tc>
          <w:tcPr>
            <w:tcW w:w="2200" w:type="dxa"/>
            <w:vAlign w:val="bottom"/>
            <w:gridSpan w:val="5"/>
          </w:tcPr>
          <w:p>
            <w:pPr>
              <w:ind w:left="1020"/>
              <w:spacing w:after="0" w:line="135" w:lineRule="exact"/>
              <w:rPr>
                <w:sz w:val="20"/>
                <w:szCs w:val="20"/>
                <w:color w:val="auto"/>
              </w:rPr>
            </w:pPr>
            <w:r>
              <w:rPr>
                <w:rFonts w:ascii="Times New Roman" w:cs="Times New Roman" w:eastAsia="Times New Roman" w:hAnsi="Times New Roman"/>
                <w:sz w:val="12"/>
                <w:szCs w:val="12"/>
                <w:color w:val="auto"/>
                <w:w w:val="97"/>
              </w:rPr>
              <w:t>Prior FY 2026 Guidance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2220" w:type="dxa"/>
            <w:vAlign w:val="bottom"/>
            <w:tcBorders>
              <w:bottom w:val="single" w:sz="8" w:color="auto"/>
            </w:tcBorders>
            <w:gridSpan w:val="3"/>
          </w:tcPr>
          <w:p>
            <w:pPr>
              <w:jc w:val="center"/>
              <w:ind w:left="1180"/>
              <w:spacing w:after="0"/>
              <w:rPr>
                <w:sz w:val="20"/>
                <w:szCs w:val="20"/>
                <w:color w:val="auto"/>
              </w:rPr>
            </w:pPr>
            <w:r>
              <w:rPr>
                <w:rFonts w:ascii="Times New Roman" w:cs="Times New Roman" w:eastAsia="Times New Roman" w:hAnsi="Times New Roman"/>
                <w:sz w:val="12"/>
                <w:szCs w:val="12"/>
                <w:b w:val="1"/>
                <w:bCs w:val="1"/>
                <w:color w:val="auto"/>
              </w:rPr>
              <w:t>(June 30, 2026)</w:t>
            </w:r>
          </w:p>
        </w:tc>
        <w:tc>
          <w:tcPr>
            <w:tcW w:w="1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2"/>
                <w:szCs w:val="12"/>
                <w:color w:val="auto"/>
              </w:rPr>
              <w:t>(March 30, 2026)</w:t>
            </w: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millions, except percentages and per share amounts)</w:t>
            </w:r>
          </w:p>
        </w:tc>
        <w:tc>
          <w:tcPr>
            <w:tcW w:w="2220" w:type="dxa"/>
            <w:vAlign w:val="bottom"/>
            <w:gridSpan w:val="3"/>
          </w:tcPr>
          <w:p>
            <w:pPr>
              <w:ind w:left="680"/>
              <w:spacing w:after="0"/>
              <w:rPr>
                <w:sz w:val="20"/>
                <w:szCs w:val="20"/>
                <w:color w:val="auto"/>
              </w:rPr>
            </w:pPr>
            <w:r>
              <w:rPr>
                <w:rFonts w:ascii="Times New Roman" w:cs="Times New Roman" w:eastAsia="Times New Roman" w:hAnsi="Times New Roman"/>
                <w:sz w:val="12"/>
                <w:szCs w:val="12"/>
                <w:b w:val="1"/>
                <w:bCs w:val="1"/>
                <w:color w:val="auto"/>
              </w:rPr>
              <w:t>GAAP</w:t>
            </w:r>
          </w:p>
        </w:tc>
        <w:tc>
          <w:tcPr>
            <w:tcW w:w="124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Non-GAAP</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2"/>
                <w:szCs w:val="12"/>
                <w:color w:val="auto"/>
              </w:rPr>
              <w:t>GAAP</w:t>
            </w:r>
          </w:p>
        </w:tc>
        <w:tc>
          <w:tcPr>
            <w:tcW w:w="114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Non-GAAP</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$990 - $1,002</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$990 - $1,002</w:t>
            </w:r>
          </w:p>
        </w:tc>
        <w:tc>
          <w:tcPr>
            <w:tcW w:w="1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$988 - $1,000</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$988 - $1,000</w:t>
            </w:r>
          </w:p>
        </w:tc>
        <w:tc>
          <w:tcPr>
            <w:tcW w:w="0" w:type="dxa"/>
            <w:vAlign w:val="bottom"/>
          </w:tcPr>
          <w:p>
            <w:pPr>
              <w:spacing w:after="0"/>
              <w:rPr>
                <w:sz w:val="1"/>
                <w:szCs w:val="1"/>
                <w:color w:val="auto"/>
              </w:rPr>
            </w:pPr>
          </w:p>
        </w:tc>
      </w:tr>
      <w:tr>
        <w:trPr>
          <w:trHeight w:val="153"/>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$1.60 - $1.74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$6.09 - $6.21</w:t>
            </w:r>
          </w:p>
        </w:tc>
        <w:tc>
          <w:tcPr>
            <w:tcW w:w="100" w:type="dxa"/>
            <w:vAlign w:val="bottom"/>
          </w:tcPr>
          <w:p>
            <w:pPr>
              <w:spacing w:after="0"/>
              <w:rPr>
                <w:sz w:val="13"/>
                <w:szCs w:val="1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$1.71 - $1.87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$5.91 - $6.03</w:t>
            </w:r>
          </w:p>
        </w:tc>
        <w:tc>
          <w:tcPr>
            <w:tcW w:w="0" w:type="dxa"/>
            <w:vAlign w:val="bottom"/>
          </w:tcPr>
          <w:p>
            <w:pPr>
              <w:spacing w:after="0"/>
              <w:rPr>
                <w:sz w:val="1"/>
                <w:szCs w:val="1"/>
                <w:color w:val="auto"/>
              </w:rPr>
            </w:pPr>
          </w:p>
        </w:tc>
      </w:tr>
      <w:tr>
        <w:trPr>
          <w:trHeight w:val="15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margin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39 %</w:t>
            </w:r>
          </w:p>
        </w:tc>
        <w:tc>
          <w:tcPr>
            <w:tcW w:w="10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- 17%</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39 %</w:t>
            </w:r>
          </w:p>
        </w:tc>
        <w:tc>
          <w:tcPr>
            <w:tcW w:w="0" w:type="dxa"/>
            <w:vAlign w:val="bottom"/>
          </w:tcPr>
          <w:p>
            <w:pPr>
              <w:spacing w:after="0"/>
              <w:rPr>
                <w:sz w:val="1"/>
                <w:szCs w:val="1"/>
                <w:color w:val="auto"/>
              </w:rPr>
            </w:pPr>
          </w:p>
        </w:tc>
      </w:tr>
      <w:tr>
        <w:trPr>
          <w:trHeight w:val="126"/>
        </w:trPr>
        <w:tc>
          <w:tcPr>
            <w:tcW w:w="43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Cash from operations (GAAP) /</w:t>
            </w:r>
          </w:p>
        </w:tc>
        <w:tc>
          <w:tcPr>
            <w:tcW w:w="1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$273 - $285</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$271 - $283</w:t>
            </w:r>
          </w:p>
        </w:tc>
        <w:tc>
          <w:tcPr>
            <w:tcW w:w="100" w:type="dxa"/>
            <w:vAlign w:val="bottom"/>
          </w:tcPr>
          <w:p>
            <w:pPr>
              <w:spacing w:after="0"/>
              <w:rPr>
                <w:sz w:val="10"/>
                <w:szCs w:val="10"/>
                <w:color w:val="auto"/>
              </w:rPr>
            </w:pPr>
          </w:p>
        </w:tc>
        <w:tc>
          <w:tcPr>
            <w:tcW w:w="16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$266 - $278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$263 - $275</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Adjusted free cash flow (non-GAAP) / Unlevered free cash flow (non-GAAP)</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$323 - $334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$315 - $326</w:t>
            </w:r>
          </w:p>
        </w:tc>
        <w:tc>
          <w:tcPr>
            <w:tcW w:w="0" w:type="dxa"/>
            <w:vAlign w:val="bottom"/>
          </w:tcPr>
          <w:p>
            <w:pPr>
              <w:spacing w:after="0"/>
              <w:rPr>
                <w:sz w:val="1"/>
                <w:szCs w:val="1"/>
                <w:color w:val="auto"/>
              </w:rPr>
            </w:pPr>
          </w:p>
        </w:tc>
      </w:tr>
      <w:tr>
        <w:trPr>
          <w:trHeight w:val="70"/>
        </w:trPr>
        <w:tc>
          <w:tcPr>
            <w:tcW w:w="43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tax rate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25 %</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20 %</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20 %</w:t>
            </w:r>
          </w:p>
        </w:tc>
        <w:tc>
          <w:tcPr>
            <w:tcW w:w="0" w:type="dxa"/>
            <w:vAlign w:val="bottom"/>
          </w:tcPr>
          <w:p>
            <w:pPr>
              <w:spacing w:after="0"/>
              <w:rPr>
                <w:sz w:val="1"/>
                <w:szCs w:val="1"/>
                <w:color w:val="auto"/>
              </w:rPr>
            </w:pPr>
          </w:p>
        </w:tc>
      </w:tr>
      <w:tr>
        <w:trPr>
          <w:trHeight w:val="396"/>
        </w:trPr>
        <w:tc>
          <w:tcPr>
            <w:tcW w:w="4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2"/>
                <w:szCs w:val="12"/>
                <w:color w:val="auto"/>
              </w:rPr>
              <w:t>Q3 2026 Guidance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millions, except per share amounts)</w:t>
            </w: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5"/>
          </w:tcPr>
          <w:p>
            <w:pPr>
              <w:ind w:left="660"/>
              <w:spacing w:after="0"/>
              <w:rPr>
                <w:sz w:val="20"/>
                <w:szCs w:val="20"/>
                <w:color w:val="auto"/>
              </w:rPr>
            </w:pPr>
            <w:r>
              <w:rPr>
                <w:rFonts w:ascii="Times New Roman" w:cs="Times New Roman" w:eastAsia="Times New Roman" w:hAnsi="Times New Roman"/>
                <w:sz w:val="12"/>
                <w:szCs w:val="12"/>
                <w:color w:val="auto"/>
              </w:rPr>
              <w:t>GAAP</w:t>
            </w:r>
          </w:p>
        </w:tc>
        <w:tc>
          <w:tcPr>
            <w:tcW w:w="114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Non-GAAP</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$244 - $250</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$244 - $250</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$0.35 - $0.41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$1.53 - $1.59</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Based on current exchange rates, the expected positive currency translation impact on our:</w:t>
      </w:r>
    </w:p>
    <w:p>
      <w:pPr>
        <w:spacing w:after="0" w:line="168"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Fiscal year 2026 business outlook compared to 2025 exchange rates is approximately $8.8 million on revenue.</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and non-GAAP diluted earnings per share for fiscal year 2026 is approximately $0.11.</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Fiscal Q3 2026 business outlook compared to 2025 exchange rates is approximately $0.2 million on revenue.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and non-GAAP diluted earnings per share for fiscal Q3 2026 is approximately $0.02.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extent that there are changes in exchange rates versus the current environment and/or our expectations, this may have an impact on Progress' business outlook.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w:t>
      </w:r>
    </w:p>
    <w:p>
      <w:pPr>
        <w:spacing w:after="0" w:line="17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 xml:space="preserve">Progress will hold a conference call to review its financial results for the fiscal second quarter of 2026 at 5:00 p.m. ET on Tuesday, June 30, 2026. Participants must register for the conference call here: </w:t>
      </w:r>
      <w:r>
        <w:rPr>
          <w:rFonts w:ascii="Times New Roman" w:cs="Times New Roman" w:eastAsia="Times New Roman" w:hAnsi="Times New Roman"/>
          <w:sz w:val="12"/>
          <w:szCs w:val="12"/>
          <w:u w:val="single" w:color="auto"/>
          <w:color w:val="0E32E1"/>
        </w:rPr>
        <w:t>https://register-conf.media-server.com/register/BI4a8f3a3282e74ab2ada736bc5bd92ec1</w:t>
      </w:r>
      <w:r>
        <w:rPr>
          <w:rFonts w:ascii="Times New Roman" w:cs="Times New Roman" w:eastAsia="Times New Roman" w:hAnsi="Times New Roman"/>
          <w:sz w:val="12"/>
          <w:szCs w:val="12"/>
          <w:color w:val="000000"/>
        </w:rPr>
        <w:t>. The webcast can be accessed at:</w:t>
      </w:r>
      <w:r>
        <w:rPr>
          <w:rFonts w:ascii="Times New Roman" w:cs="Times New Roman" w:eastAsia="Times New Roman" w:hAnsi="Times New Roman"/>
          <w:sz w:val="12"/>
          <w:szCs w:val="12"/>
          <w:color w:val="0E32E1"/>
        </w:rPr>
        <w:t xml:space="preserve"> </w:t>
      </w:r>
      <w:r>
        <w:rPr>
          <w:rFonts w:ascii="Times New Roman" w:cs="Times New Roman" w:eastAsia="Times New Roman" w:hAnsi="Times New Roman"/>
          <w:sz w:val="12"/>
          <w:szCs w:val="12"/>
          <w:u w:val="single" w:color="auto"/>
          <w:color w:val="0E32E1"/>
        </w:rPr>
        <w:t>https://edge.media-server.com/mmc/p/ctm7obvp</w:t>
      </w:r>
      <w:r>
        <w:rPr>
          <w:rFonts w:ascii="Times New Roman" w:cs="Times New Roman" w:eastAsia="Times New Roman" w:hAnsi="Times New Roman"/>
          <w:sz w:val="12"/>
          <w:szCs w:val="12"/>
          <w:color w:val="000000"/>
        </w:rPr>
        <w:t>. The conference call will include comments followed by questions and answers. Attendees</w:t>
      </w:r>
      <w:r>
        <w:rPr>
          <w:rFonts w:ascii="Times New Roman" w:cs="Times New Roman" w:eastAsia="Times New Roman" w:hAnsi="Times New Roman"/>
          <w:sz w:val="12"/>
          <w:szCs w:val="12"/>
          <w:color w:val="0E32E1"/>
        </w:rPr>
        <w:t xml:space="preserve"> </w:t>
      </w:r>
      <w:r>
        <w:rPr>
          <w:rFonts w:ascii="Times New Roman" w:cs="Times New Roman" w:eastAsia="Times New Roman" w:hAnsi="Times New Roman"/>
          <w:sz w:val="12"/>
          <w:szCs w:val="12"/>
          <w:color w:val="000000"/>
        </w:rPr>
        <w:t>must register for the webcast and an archived version of the conference call and supporting materials will be available on the Progress website within the investor relations section after the live conference call.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Progress</w:t>
      </w:r>
    </w:p>
    <w:p>
      <w:pPr>
        <w:spacing w:after="0" w:line="17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 xml:space="preserve">Progress Software (Nasdaq: PRGS) empowers organizations to achieve transformational success in the face of disruptive change. Our software enables our customers to develop, deploy and manage responsible AI-powered applications and personalized digital experiences with agility and ease. Businesses of all sizes get a trusted provider in Progress, with the products, expertise and vision they need to turn AI disruption into a competitive advantage. Millions of developers and technologists at hundreds of thousands of organizations depend on Progress every day. Learn more at </w:t>
      </w:r>
      <w:r>
        <w:rPr>
          <w:rFonts w:ascii="Times New Roman" w:cs="Times New Roman" w:eastAsia="Times New Roman" w:hAnsi="Times New Roman"/>
          <w:sz w:val="12"/>
          <w:szCs w:val="12"/>
          <w:u w:val="single" w:color="auto"/>
          <w:color w:val="0E32E1"/>
        </w:rPr>
        <w:t>www.progress.com</w:t>
      </w:r>
      <w:r>
        <w:rPr>
          <w:rFonts w:ascii="Times New Roman" w:cs="Times New Roman" w:eastAsia="Times New Roman" w:hAnsi="Times New Roman"/>
          <w:sz w:val="12"/>
          <w:szCs w:val="12"/>
          <w:color w:val="auto"/>
        </w:rPr>
        <w:t>.</w:t>
      </w:r>
    </w:p>
    <w:p>
      <w:pPr>
        <w:spacing w:after="0" w:line="13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2"/>
          <w:szCs w:val="12"/>
          <w:color w:val="auto"/>
        </w:rPr>
        <w:t>Progress and Progress Software are trademarks or registered trademarks of Progress Software Corporation and/or its subsidiaries or affiliates in the U.S. and other countries. Any other names contained herein may be trademarks of their respective owners.</w:t>
      </w:r>
    </w:p>
    <w:p>
      <w:pPr>
        <w:sectPr>
          <w:pgSz w:w="11900" w:h="16838" w:orient="portrait"/>
          <w:cols w:equalWidth="0" w:num="1">
            <w:col w:w="11300"/>
          </w:cols>
          <w:pgMar w:left="300" w:top="719" w:right="299" w:bottom="1440" w:gutter="0" w:footer="0" w:header="0"/>
        </w:sectPr>
      </w:pP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Michael Micciche</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Progress Software</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+1 781 850 8450</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Investor-Relations@progress.com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Press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Jeff Young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Progress Software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+1 781 280 4000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PR@progress.com</w:t>
      </w:r>
    </w:p>
    <w:p>
      <w:pPr>
        <w:spacing w:after="0" w:line="200" w:lineRule="exact"/>
        <w:rPr>
          <w:sz w:val="20"/>
          <w:szCs w:val="20"/>
          <w:color w:val="auto"/>
        </w:rPr>
      </w:pPr>
    </w:p>
    <w:p>
      <w:pPr>
        <w:sectPr>
          <w:pgSz w:w="11900" w:h="16838" w:orient="portrait"/>
          <w:cols w:equalWidth="0" w:num="2">
            <w:col w:w="7120" w:space="720"/>
            <w:col w:w="3460"/>
          </w:cols>
          <w:pgMar w:left="300" w:top="719" w:right="299" w:bottom="1440" w:gutter="0" w:footer="0" w:header="0"/>
          <w:type w:val="continuous"/>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719" w:right="2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Three Months Ended</w:t>
            </w: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Six Months Ended</w:t>
            </w:r>
          </w:p>
        </w:tc>
        <w:tc>
          <w:tcPr>
            <w:tcW w:w="1080" w:type="dxa"/>
            <w:vAlign w:val="bottom"/>
            <w:tcBorders>
              <w:bottom w:val="single" w:sz="8" w:color="auto"/>
            </w:tcBorders>
          </w:tcPr>
          <w:p>
            <w:pPr>
              <w:spacing w:after="0"/>
              <w:rPr>
                <w:sz w:val="13"/>
                <w:szCs w:val="13"/>
                <w:color w:val="auto"/>
              </w:rPr>
            </w:pPr>
          </w:p>
        </w:tc>
      </w:tr>
      <w:tr>
        <w:trPr>
          <w:trHeight w:val="142"/>
        </w:trPr>
        <w:tc>
          <w:tcPr>
            <w:tcW w:w="394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thousands, except per share data)</w:t>
            </w:r>
          </w:p>
        </w:tc>
        <w:tc>
          <w:tcPr>
            <w:tcW w:w="160" w:type="dxa"/>
            <w:vAlign w:val="bottom"/>
          </w:tcPr>
          <w:p>
            <w:pPr>
              <w:spacing w:after="0"/>
              <w:rPr>
                <w:sz w:val="12"/>
                <w:szCs w:val="12"/>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May 31, 2026</w:t>
            </w:r>
          </w:p>
        </w:tc>
        <w:tc>
          <w:tcPr>
            <w:tcW w:w="16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May 31, 2025</w:t>
            </w:r>
          </w:p>
        </w:tc>
        <w:tc>
          <w:tcPr>
            <w:tcW w:w="1080" w:type="dxa"/>
            <w:vAlign w:val="bottom"/>
          </w:tcPr>
          <w:p>
            <w:pPr>
              <w:jc w:val="right"/>
              <w:ind w:right="220"/>
              <w:spacing w:after="0"/>
              <w:rPr>
                <w:sz w:val="20"/>
                <w:szCs w:val="20"/>
                <w:color w:val="auto"/>
              </w:rPr>
            </w:pPr>
            <w:r>
              <w:rPr>
                <w:rFonts w:ascii="Times New Roman" w:cs="Times New Roman" w:eastAsia="Times New Roman" w:hAnsi="Times New Roman"/>
                <w:sz w:val="12"/>
                <w:szCs w:val="12"/>
                <w:i w:val="1"/>
                <w:iCs w:val="1"/>
                <w:color w:val="auto"/>
              </w:rPr>
              <w:t>% Change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May 31, 2026</w:t>
            </w:r>
          </w:p>
        </w:tc>
        <w:tc>
          <w:tcPr>
            <w:tcW w:w="80" w:type="dxa"/>
            <w:vAlign w:val="bottom"/>
          </w:tcPr>
          <w:p>
            <w:pPr>
              <w:spacing w:after="0"/>
              <w:rPr>
                <w:sz w:val="12"/>
                <w:szCs w:val="12"/>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May 31, 2025</w:t>
            </w:r>
          </w:p>
        </w:tc>
        <w:tc>
          <w:tcPr>
            <w:tcW w:w="1080" w:type="dxa"/>
            <w:vAlign w:val="bottom"/>
          </w:tcPr>
          <w:p>
            <w:pPr>
              <w:jc w:val="right"/>
              <w:ind w:right="240"/>
              <w:spacing w:after="0"/>
              <w:rPr>
                <w:sz w:val="20"/>
                <w:szCs w:val="20"/>
                <w:color w:val="auto"/>
              </w:rPr>
            </w:pPr>
            <w:r>
              <w:rPr>
                <w:rFonts w:ascii="Times New Roman" w:cs="Times New Roman" w:eastAsia="Times New Roman" w:hAnsi="Times New Roman"/>
                <w:sz w:val="12"/>
                <w:szCs w:val="12"/>
                <w:i w:val="1"/>
                <w:iCs w:val="1"/>
                <w:color w:val="auto"/>
              </w:rPr>
              <w:t>% Change</w:t>
            </w:r>
          </w:p>
        </w:tc>
      </w:tr>
      <w:tr>
        <w:trPr>
          <w:trHeight w:val="133"/>
        </w:trPr>
        <w:tc>
          <w:tcPr>
            <w:tcW w:w="39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1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Software licenses</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68,979</w:t>
            </w:r>
          </w:p>
        </w:tc>
        <w:tc>
          <w:tcPr>
            <w:tcW w:w="10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50,795</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36 %</w:t>
            </w:r>
          </w:p>
        </w:tc>
        <w:tc>
          <w:tcPr>
            <w:tcW w:w="10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136,560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109,240</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25 %</w:t>
            </w: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Maintenance, SaaS, and professional services</w:t>
            </w:r>
          </w:p>
        </w:tc>
        <w:tc>
          <w:tcPr>
            <w:tcW w:w="1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184,486</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186,560</w:t>
            </w:r>
          </w:p>
        </w:tc>
        <w:tc>
          <w:tcPr>
            <w:tcW w:w="8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364,704</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366,130</w:t>
            </w:r>
          </w:p>
        </w:tc>
        <w:tc>
          <w:tcPr>
            <w:tcW w:w="10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 %</w:t>
            </w:r>
          </w:p>
        </w:tc>
      </w:tr>
      <w:tr>
        <w:trPr>
          <w:trHeight w:val="142"/>
        </w:trPr>
        <w:tc>
          <w:tcPr>
            <w:tcW w:w="3940" w:type="dxa"/>
            <w:vAlign w:val="bottom"/>
            <w:tcBorders>
              <w:bottom w:val="single" w:sz="8" w:color="CCEEFF"/>
            </w:tcBorders>
          </w:tcPr>
          <w:p>
            <w:pPr>
              <w:ind w:left="440"/>
              <w:spacing w:after="0" w:line="135" w:lineRule="exact"/>
              <w:rPr>
                <w:sz w:val="20"/>
                <w:szCs w:val="20"/>
                <w:color w:val="auto"/>
              </w:rPr>
            </w:pPr>
            <w:r>
              <w:rPr>
                <w:rFonts w:ascii="Times New Roman" w:cs="Times New Roman" w:eastAsia="Times New Roman" w:hAnsi="Times New Roman"/>
                <w:sz w:val="12"/>
                <w:szCs w:val="12"/>
                <w:color w:val="auto"/>
              </w:rPr>
              <w:t>Total revenue</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253,465</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237,355</w:t>
            </w: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7 %</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501,264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475,370</w:t>
            </w: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5 %</w:t>
            </w:r>
          </w:p>
        </w:tc>
      </w:tr>
      <w:tr>
        <w:trPr>
          <w:trHeight w:val="133"/>
        </w:trPr>
        <w:tc>
          <w:tcPr>
            <w:tcW w:w="3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Costs of revenue:</w:t>
            </w: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Cost of software licenses</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2,987</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23 %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5,912</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13 %</w:t>
            </w: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Cost of maintenance, SaaS, and professional services</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32,259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33,764</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64,359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66,648</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w:t>
            </w:r>
          </w:p>
        </w:tc>
      </w:tr>
      <w:tr>
        <w:trPr>
          <w:trHeight w:val="153"/>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Amortization of acquired intangibles</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8,938</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10,537</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(15)%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17,689</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20,959</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(16)%</w:t>
            </w:r>
          </w:p>
        </w:tc>
      </w:tr>
      <w:tr>
        <w:trPr>
          <w:trHeight w:val="142"/>
        </w:trPr>
        <w:tc>
          <w:tcPr>
            <w:tcW w:w="3940" w:type="dxa"/>
            <w:vAlign w:val="bottom"/>
            <w:shd w:val="clear" w:color="auto" w:fill="CCEEFF"/>
          </w:tcPr>
          <w:p>
            <w:pPr>
              <w:ind w:left="440"/>
              <w:spacing w:after="0" w:line="135" w:lineRule="exact"/>
              <w:rPr>
                <w:sz w:val="20"/>
                <w:szCs w:val="20"/>
                <w:color w:val="auto"/>
              </w:rPr>
            </w:pPr>
            <w:r>
              <w:rPr>
                <w:rFonts w:ascii="Times New Roman" w:cs="Times New Roman" w:eastAsia="Times New Roman" w:hAnsi="Times New Roman"/>
                <w:sz w:val="12"/>
                <w:szCs w:val="12"/>
                <w:color w:val="auto"/>
              </w:rPr>
              <w:t>Total costs of revenue</w:t>
            </w: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44,872</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47,288</w:t>
            </w:r>
          </w:p>
        </w:tc>
        <w:tc>
          <w:tcPr>
            <w:tcW w:w="8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(5)%</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88,736</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93,519</w:t>
            </w:r>
          </w:p>
        </w:tc>
        <w:tc>
          <w:tcPr>
            <w:tcW w:w="10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(5)%</w:t>
            </w:r>
          </w:p>
        </w:tc>
      </w:tr>
      <w:tr>
        <w:trPr>
          <w:trHeight w:val="142"/>
        </w:trPr>
        <w:tc>
          <w:tcPr>
            <w:tcW w:w="39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Gross profit</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208,593</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190,067</w:t>
            </w: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10 %</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412,528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381,851</w:t>
            </w: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8 %</w:t>
            </w:r>
          </w:p>
        </w:tc>
      </w:tr>
      <w:tr>
        <w:trPr>
          <w:trHeight w:val="133"/>
        </w:trPr>
        <w:tc>
          <w:tcPr>
            <w:tcW w:w="3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expenses:</w:t>
            </w: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Sales and marketing</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49,677</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9 %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106,338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100,973</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5 %</w:t>
            </w: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Product development</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48,840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46,570</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5 %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99,314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92,945</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7 %</w:t>
            </w: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25,637</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26 %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51,260</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15 %</w:t>
            </w: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Amortization of acquired intangibles</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26,167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26,063</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i w:val="1"/>
                <w:iCs w:val="1"/>
                <w:color w:val="auto"/>
              </w:rPr>
              <w:t>— %</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51,784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51,871</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 %</w:t>
            </w: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Cyber vulnerability response expenses, net</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73 %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1,467</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79 %</w:t>
            </w: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Restructuring expenses</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1,043</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42 %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8,072</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(73)%</w:t>
            </w:r>
          </w:p>
        </w:tc>
      </w:tr>
      <w:tr>
        <w:trPr>
          <w:trHeight w:val="153"/>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Acquisition-related expenses</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1,731</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(154)%</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4,221</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(103)%</w:t>
            </w:r>
          </w:p>
        </w:tc>
      </w:tr>
      <w:tr>
        <w:trPr>
          <w:trHeight w:val="142"/>
        </w:trPr>
        <w:tc>
          <w:tcPr>
            <w:tcW w:w="3940" w:type="dxa"/>
            <w:vAlign w:val="bottom"/>
            <w:shd w:val="clear" w:color="auto" w:fill="CCEEFF"/>
          </w:tcPr>
          <w:p>
            <w:pPr>
              <w:ind w:left="440"/>
              <w:spacing w:after="0" w:line="135" w:lineRule="exact"/>
              <w:rPr>
                <w:sz w:val="20"/>
                <w:szCs w:val="20"/>
                <w:color w:val="auto"/>
              </w:rPr>
            </w:pPr>
            <w:r>
              <w:rPr>
                <w:rFonts w:ascii="Times New Roman" w:cs="Times New Roman" w:eastAsia="Times New Roman" w:hAnsi="Times New Roman"/>
                <w:sz w:val="12"/>
                <w:szCs w:val="12"/>
                <w:color w:val="auto"/>
              </w:rPr>
              <w:t>Total operating expenses</w:t>
            </w: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163,391</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151,451</w:t>
            </w:r>
          </w:p>
        </w:tc>
        <w:tc>
          <w:tcPr>
            <w:tcW w:w="8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8 %</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320,861</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310,809</w:t>
            </w:r>
          </w:p>
        </w:tc>
        <w:tc>
          <w:tcPr>
            <w:tcW w:w="10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3 %</w:t>
            </w:r>
          </w:p>
        </w:tc>
      </w:tr>
      <w:tr>
        <w:trPr>
          <w:trHeight w:val="142"/>
        </w:trPr>
        <w:tc>
          <w:tcPr>
            <w:tcW w:w="39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Income from operations</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45,202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38,616</w:t>
            </w: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17 %</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91,667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71,042</w:t>
            </w: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29 %</w:t>
            </w:r>
          </w:p>
        </w:tc>
      </w:tr>
      <w:tr>
        <w:trPr>
          <w:trHeight w:val="142"/>
        </w:trPr>
        <w:tc>
          <w:tcPr>
            <w:tcW w:w="3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expense, net</w:t>
            </w: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(16,362)</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(18,752)</w:t>
            </w:r>
          </w:p>
        </w:tc>
        <w:tc>
          <w:tcPr>
            <w:tcW w:w="8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13 %</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(32,535)</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(37,876)</w:t>
            </w:r>
          </w:p>
        </w:tc>
        <w:tc>
          <w:tcPr>
            <w:tcW w:w="10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14 %</w:t>
            </w:r>
          </w:p>
        </w:tc>
      </w:tr>
      <w:tr>
        <w:trPr>
          <w:trHeight w:val="142"/>
        </w:trPr>
        <w:tc>
          <w:tcPr>
            <w:tcW w:w="39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28,840</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19,864</w:t>
            </w: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45 %</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59,132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33,166</w:t>
            </w: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78 %</w:t>
            </w:r>
          </w:p>
        </w:tc>
      </w:tr>
      <w:tr>
        <w:trPr>
          <w:trHeight w:val="142"/>
        </w:trPr>
        <w:tc>
          <w:tcPr>
            <w:tcW w:w="3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Provision for income taxes</w:t>
            </w: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7,767</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2,835</w:t>
            </w:r>
          </w:p>
        </w:tc>
        <w:tc>
          <w:tcPr>
            <w:tcW w:w="8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174 %</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15,246</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5,191</w:t>
            </w:r>
          </w:p>
        </w:tc>
        <w:tc>
          <w:tcPr>
            <w:tcW w:w="10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194 %</w:t>
            </w:r>
          </w:p>
        </w:tc>
      </w:tr>
      <w:tr>
        <w:trPr>
          <w:trHeight w:val="158"/>
        </w:trPr>
        <w:tc>
          <w:tcPr>
            <w:tcW w:w="39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income</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21,073</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17,029</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24 %</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43,886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27,975</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57 %</w:t>
            </w:r>
          </w:p>
        </w:tc>
      </w:tr>
      <w:tr>
        <w:trPr>
          <w:trHeight w:val="162"/>
        </w:trPr>
        <w:tc>
          <w:tcPr>
            <w:tcW w:w="3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3"/>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Earnings per share:</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25 %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0.65</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60 %</w:t>
            </w: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10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0.39</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28 %</w:t>
            </w:r>
          </w:p>
        </w:tc>
        <w:tc>
          <w:tcPr>
            <w:tcW w:w="10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0.63</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63 %</w:t>
            </w:r>
          </w:p>
        </w:tc>
      </w:tr>
      <w:tr>
        <w:trPr>
          <w:trHeight w:val="15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43,053</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43,154</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(3)%</w:t>
            </w: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44,156</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42,519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44,522</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(4)%</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Stock-based compensation is included in the condensed consolidated statements of operations,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Costs of revenue</w:t>
            </w: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i w:val="1"/>
                <w:iCs w:val="1"/>
                <w:color w:val="auto"/>
              </w:rPr>
              <w:t>(3)%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2,755</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13 %</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Sales and marketing</w:t>
            </w:r>
          </w:p>
        </w:tc>
        <w:tc>
          <w:tcPr>
            <w:tcW w:w="4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3,663</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11 %</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6,695</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22 %</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Product development</w:t>
            </w:r>
          </w:p>
        </w:tc>
        <w:tc>
          <w:tcPr>
            <w:tcW w:w="4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5,847</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4,984</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i w:val="1"/>
                <w:iCs w:val="1"/>
                <w:color w:val="auto"/>
              </w:rPr>
              <w:t>17 %</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11,442</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9,394</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22 %</w:t>
            </w:r>
          </w:p>
        </w:tc>
      </w:tr>
      <w:tr>
        <w:trPr>
          <w:trHeight w:val="153"/>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9,095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6,534</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i w:val="1"/>
                <w:iCs w:val="1"/>
                <w:color w:val="auto"/>
              </w:rPr>
              <w:t>39 %</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16,273</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12,580</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29 %</w:t>
            </w:r>
          </w:p>
        </w:tc>
      </w:tr>
      <w:tr>
        <w:trPr>
          <w:trHeight w:val="158"/>
        </w:trPr>
        <w:tc>
          <w:tcPr>
            <w:tcW w:w="3960" w:type="dxa"/>
            <w:vAlign w:val="bottom"/>
            <w:tcBorders>
              <w:bottom w:val="single" w:sz="8" w:color="CCEEFF"/>
            </w:tcBorders>
            <w:shd w:val="clear" w:color="auto" w:fill="CCEEFF"/>
          </w:tcPr>
          <w:p>
            <w:pPr>
              <w:ind w:left="440"/>
              <w:spacing w:after="0" w:line="121" w:lineRule="exact"/>
              <w:rPr>
                <w:sz w:val="20"/>
                <w:szCs w:val="20"/>
                <w:color w:val="auto"/>
              </w:rPr>
            </w:pPr>
            <w:r>
              <w:rPr>
                <w:rFonts w:ascii="Times New Roman" w:cs="Times New Roman" w:eastAsia="Times New Roman" w:hAnsi="Times New Roman"/>
                <w:sz w:val="11"/>
                <w:szCs w:val="11"/>
                <w:color w:val="auto"/>
              </w:rPr>
              <w:t>Total</w:t>
            </w:r>
          </w:p>
        </w:tc>
        <w:tc>
          <w:tcPr>
            <w:tcW w:w="46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20,509</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16,741</w:t>
            </w: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i w:val="1"/>
                <w:iCs w:val="1"/>
                <w:color w:val="auto"/>
              </w:rPr>
              <w:t>23 %</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38,983</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31,424</w:t>
            </w: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24 %</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719"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360" w:type="dxa"/>
            <w:vAlign w:val="bottom"/>
          </w:tcPr>
          <w:p>
            <w:pPr>
              <w:spacing w:after="0"/>
              <w:rPr>
                <w:sz w:val="13"/>
                <w:szCs w:val="13"/>
                <w:color w:val="auto"/>
              </w:rPr>
            </w:pPr>
          </w:p>
        </w:tc>
        <w:tc>
          <w:tcPr>
            <w:tcW w:w="17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May 31, 2026</w:t>
            </w:r>
          </w:p>
        </w:tc>
        <w:tc>
          <w:tcPr>
            <w:tcW w:w="280" w:type="dxa"/>
            <w:vAlign w:val="bottom"/>
          </w:tcPr>
          <w:p>
            <w:pPr>
              <w:spacing w:after="0"/>
              <w:rPr>
                <w:sz w:val="13"/>
                <w:szCs w:val="13"/>
                <w:color w:val="auto"/>
              </w:rPr>
            </w:pPr>
          </w:p>
        </w:tc>
        <w:tc>
          <w:tcPr>
            <w:tcW w:w="170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November 30, 2025</w:t>
            </w:r>
          </w:p>
        </w:tc>
      </w:tr>
      <w:tr>
        <w:trPr>
          <w:trHeight w:val="133"/>
        </w:trPr>
        <w:tc>
          <w:tcPr>
            <w:tcW w:w="7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Assets</w:t>
            </w:r>
          </w:p>
        </w:tc>
        <w:tc>
          <w:tcPr>
            <w:tcW w:w="36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r>
      <w:tr>
        <w:trPr>
          <w:trHeight w:val="153"/>
        </w:trPr>
        <w:tc>
          <w:tcPr>
            <w:tcW w:w="72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3"/>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102,978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94,807</w:t>
            </w:r>
          </w:p>
        </w:tc>
      </w:tr>
      <w:tr>
        <w:trPr>
          <w:trHeight w:val="153"/>
        </w:trPr>
        <w:tc>
          <w:tcPr>
            <w:tcW w:w="7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receivable, net</w:t>
            </w:r>
          </w:p>
        </w:tc>
        <w:tc>
          <w:tcPr>
            <w:tcW w:w="3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125,209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195,783</w:t>
            </w:r>
          </w:p>
        </w:tc>
      </w:tr>
      <w:tr>
        <w:trPr>
          <w:trHeight w:val="153"/>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Unbilled receivables, current portion</w:t>
            </w:r>
          </w:p>
        </w:tc>
        <w:tc>
          <w:tcPr>
            <w:tcW w:w="3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51,297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46,599</w:t>
            </w:r>
          </w:p>
        </w:tc>
      </w:tr>
      <w:tr>
        <w:trPr>
          <w:trHeight w:val="153"/>
        </w:trPr>
        <w:tc>
          <w:tcPr>
            <w:tcW w:w="7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 current assets</w:t>
            </w:r>
          </w:p>
        </w:tc>
        <w:tc>
          <w:tcPr>
            <w:tcW w:w="3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57,018</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62,776</w:t>
            </w:r>
          </w:p>
        </w:tc>
      </w:tr>
      <w:tr>
        <w:trPr>
          <w:trHeight w:val="142"/>
        </w:trPr>
        <w:tc>
          <w:tcPr>
            <w:tcW w:w="7240" w:type="dxa"/>
            <w:vAlign w:val="bottom"/>
            <w:shd w:val="clear" w:color="auto" w:fill="CCEEFF"/>
          </w:tcPr>
          <w:p>
            <w:pPr>
              <w:ind w:left="440"/>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36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336,502</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399,965</w:t>
            </w:r>
          </w:p>
        </w:tc>
      </w:tr>
      <w:tr>
        <w:trPr>
          <w:trHeight w:val="142"/>
        </w:trPr>
        <w:tc>
          <w:tcPr>
            <w:tcW w:w="724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3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14,938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13,694</w:t>
            </w:r>
          </w:p>
        </w:tc>
      </w:tr>
      <w:tr>
        <w:trPr>
          <w:trHeight w:val="15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 and intangible assets, net</w:t>
            </w:r>
          </w:p>
        </w:tc>
        <w:tc>
          <w:tcPr>
            <w:tcW w:w="3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1,824,329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1,893,082</w:t>
            </w:r>
          </w:p>
        </w:tc>
      </w:tr>
      <w:tr>
        <w:trPr>
          <w:trHeight w:val="153"/>
        </w:trPr>
        <w:tc>
          <w:tcPr>
            <w:tcW w:w="7240" w:type="dxa"/>
            <w:vAlign w:val="bottom"/>
          </w:tcPr>
          <w:p>
            <w:pPr>
              <w:spacing w:after="0"/>
              <w:rPr>
                <w:sz w:val="20"/>
                <w:szCs w:val="20"/>
                <w:color w:val="auto"/>
              </w:rPr>
            </w:pPr>
            <w:r>
              <w:rPr>
                <w:rFonts w:ascii="Times New Roman" w:cs="Times New Roman" w:eastAsia="Times New Roman" w:hAnsi="Times New Roman"/>
                <w:sz w:val="12"/>
                <w:szCs w:val="12"/>
                <w:color w:val="auto"/>
              </w:rPr>
              <w:t>Right-of-use lease assets</w:t>
            </w:r>
          </w:p>
        </w:tc>
        <w:tc>
          <w:tcPr>
            <w:tcW w:w="3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25,842</w:t>
            </w:r>
          </w:p>
        </w:tc>
      </w:tr>
      <w:tr>
        <w:trPr>
          <w:trHeight w:val="15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Unbilled receivables, non-current portion</w:t>
            </w:r>
          </w:p>
        </w:tc>
        <w:tc>
          <w:tcPr>
            <w:tcW w:w="3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44,139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29,950</w:t>
            </w:r>
          </w:p>
        </w:tc>
      </w:tr>
      <w:tr>
        <w:trPr>
          <w:trHeight w:val="153"/>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94,189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95,125</w:t>
            </w:r>
          </w:p>
        </w:tc>
      </w:tr>
      <w:tr>
        <w:trPr>
          <w:trHeight w:val="162"/>
        </w:trPr>
        <w:tc>
          <w:tcPr>
            <w:tcW w:w="7240" w:type="dxa"/>
            <w:vAlign w:val="bottom"/>
            <w:tcBorders>
              <w:bottom w:val="single" w:sz="8" w:color="CCEEFF"/>
            </w:tcBorders>
            <w:shd w:val="clear" w:color="auto" w:fill="CCEEFF"/>
          </w:tcPr>
          <w:p>
            <w:pPr>
              <w:ind w:left="440"/>
              <w:spacing w:after="0" w:line="135" w:lineRule="exact"/>
              <w:rPr>
                <w:sz w:val="20"/>
                <w:szCs w:val="20"/>
                <w:color w:val="auto"/>
              </w:rPr>
            </w:pPr>
            <w:r>
              <w:rPr>
                <w:rFonts w:ascii="Times New Roman" w:cs="Times New Roman" w:eastAsia="Times New Roman" w:hAnsi="Times New Roman"/>
                <w:sz w:val="12"/>
                <w:szCs w:val="12"/>
                <w:color w:val="auto"/>
              </w:rPr>
              <w:t>Total assets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2,345,623</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2,457,658</w:t>
            </w:r>
          </w:p>
        </w:tc>
      </w:tr>
      <w:tr>
        <w:trPr>
          <w:trHeight w:val="131"/>
        </w:trPr>
        <w:tc>
          <w:tcPr>
            <w:tcW w:w="724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Liabilities and stockholders' equity</w:t>
            </w:r>
          </w:p>
        </w:tc>
        <w:tc>
          <w:tcPr>
            <w:tcW w:w="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5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3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r>
      <w:tr>
        <w:trPr>
          <w:trHeight w:val="153"/>
        </w:trPr>
        <w:tc>
          <w:tcPr>
            <w:tcW w:w="7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payable and other current liabilities</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83,422</w:t>
            </w:r>
          </w:p>
        </w:tc>
        <w:tc>
          <w:tcPr>
            <w:tcW w:w="10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117,331</w:t>
            </w:r>
          </w:p>
        </w:tc>
      </w:tr>
      <w:tr>
        <w:trPr>
          <w:trHeight w:val="153"/>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Convertible senior notes, current portion, net</w:t>
            </w:r>
          </w:p>
        </w:tc>
        <w:tc>
          <w:tcPr>
            <w:tcW w:w="36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359,163</w:t>
            </w:r>
          </w:p>
        </w:tc>
      </w:tr>
      <w:tr>
        <w:trPr>
          <w:trHeight w:val="153"/>
        </w:trPr>
        <w:tc>
          <w:tcPr>
            <w:tcW w:w="7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Operating lease liabilities, current portion</w:t>
            </w:r>
          </w:p>
        </w:tc>
        <w:tc>
          <w:tcPr>
            <w:tcW w:w="3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8,490</w:t>
            </w:r>
          </w:p>
        </w:tc>
      </w:tr>
      <w:tr>
        <w:trPr>
          <w:trHeight w:val="153"/>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Deferred revenue, current portion</w:t>
            </w:r>
          </w:p>
        </w:tc>
        <w:tc>
          <w:tcPr>
            <w:tcW w:w="3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324,469</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324,750</w:t>
            </w:r>
          </w:p>
        </w:tc>
      </w:tr>
      <w:tr>
        <w:trPr>
          <w:trHeight w:val="142"/>
        </w:trPr>
        <w:tc>
          <w:tcPr>
            <w:tcW w:w="7240" w:type="dxa"/>
            <w:vAlign w:val="bottom"/>
            <w:tcBorders>
              <w:bottom w:val="single" w:sz="8" w:color="CCEEFF"/>
            </w:tcBorders>
          </w:tcPr>
          <w:p>
            <w:pPr>
              <w:ind w:left="440"/>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3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416,035</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809,734</w:t>
            </w:r>
          </w:p>
        </w:tc>
      </w:tr>
      <w:tr>
        <w:trPr>
          <w:trHeight w:val="14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850,000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600,000</w:t>
            </w:r>
          </w:p>
        </w:tc>
      </w:tr>
      <w:tr>
        <w:trPr>
          <w:trHeight w:val="153"/>
        </w:trPr>
        <w:tc>
          <w:tcPr>
            <w:tcW w:w="72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non-current portion</w:t>
            </w:r>
          </w:p>
        </w:tc>
        <w:tc>
          <w:tcPr>
            <w:tcW w:w="3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26,467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21,077</w:t>
            </w:r>
          </w:p>
        </w:tc>
      </w:tr>
      <w:tr>
        <w:trPr>
          <w:trHeight w:val="15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revenue, non-current portion</w:t>
            </w:r>
          </w:p>
        </w:tc>
        <w:tc>
          <w:tcPr>
            <w:tcW w:w="3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98,756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100,329</w:t>
            </w:r>
          </w:p>
        </w:tc>
      </w:tr>
      <w:tr>
        <w:trPr>
          <w:trHeight w:val="153"/>
        </w:trPr>
        <w:tc>
          <w:tcPr>
            <w:tcW w:w="7240" w:type="dxa"/>
            <w:vAlign w:val="bottom"/>
          </w:tcPr>
          <w:p>
            <w:pPr>
              <w:spacing w:after="0"/>
              <w:rPr>
                <w:sz w:val="20"/>
                <w:szCs w:val="20"/>
                <w:color w:val="auto"/>
              </w:rPr>
            </w:pPr>
            <w:r>
              <w:rPr>
                <w:rFonts w:ascii="Times New Roman" w:cs="Times New Roman" w:eastAsia="Times New Roman" w:hAnsi="Times New Roman"/>
                <w:sz w:val="12"/>
                <w:szCs w:val="12"/>
                <w:color w:val="auto"/>
              </w:rPr>
              <w:t>Convertible senior notes, non-current portion, net</w:t>
            </w:r>
          </w:p>
        </w:tc>
        <w:tc>
          <w:tcPr>
            <w:tcW w:w="3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442,147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441,186</w:t>
            </w:r>
          </w:p>
        </w:tc>
      </w:tr>
      <w:tr>
        <w:trPr>
          <w:trHeight w:val="15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3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6,983</w:t>
            </w:r>
          </w:p>
        </w:tc>
      </w:tr>
      <w:tr>
        <w:trPr>
          <w:trHeight w:val="153"/>
        </w:trPr>
        <w:tc>
          <w:tcPr>
            <w:tcW w:w="724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Common stock and additional paid-in capital</w:t>
            </w:r>
          </w:p>
        </w:tc>
        <w:tc>
          <w:tcPr>
            <w:tcW w:w="3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416,043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384,119</w:t>
            </w:r>
          </w:p>
        </w:tc>
      </w:tr>
      <w:tr>
        <w:trPr>
          <w:trHeight w:val="153"/>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Retained earnings</w:t>
            </w:r>
          </w:p>
        </w:tc>
        <w:tc>
          <w:tcPr>
            <w:tcW w:w="3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90,040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94,230</w:t>
            </w:r>
          </w:p>
        </w:tc>
      </w:tr>
      <w:tr>
        <w:trPr>
          <w:trHeight w:val="142"/>
        </w:trPr>
        <w:tc>
          <w:tcPr>
            <w:tcW w:w="7240" w:type="dxa"/>
            <w:vAlign w:val="bottom"/>
            <w:shd w:val="clear" w:color="auto" w:fill="CCEEFF"/>
          </w:tcPr>
          <w:p>
            <w:pPr>
              <w:ind w:left="440"/>
              <w:spacing w:after="0" w:line="135" w:lineRule="exact"/>
              <w:rPr>
                <w:sz w:val="20"/>
                <w:szCs w:val="20"/>
                <w:color w:val="auto"/>
              </w:rPr>
            </w:pPr>
            <w:r>
              <w:rPr>
                <w:rFonts w:ascii="Times New Roman" w:cs="Times New Roman" w:eastAsia="Times New Roman" w:hAnsi="Times New Roman"/>
                <w:sz w:val="12"/>
                <w:szCs w:val="12"/>
                <w:color w:val="auto"/>
              </w:rPr>
              <w:t>Total stockholders' equity</w:t>
            </w:r>
          </w:p>
        </w:tc>
        <w:tc>
          <w:tcPr>
            <w:tcW w:w="36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506,083</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478,349</w:t>
            </w:r>
          </w:p>
        </w:tc>
      </w:tr>
      <w:tr>
        <w:trPr>
          <w:trHeight w:val="142"/>
        </w:trPr>
        <w:tc>
          <w:tcPr>
            <w:tcW w:w="7240" w:type="dxa"/>
            <w:vAlign w:val="bottom"/>
          </w:tcPr>
          <w:p>
            <w:pPr>
              <w:ind w:left="440"/>
              <w:spacing w:after="0" w:line="135" w:lineRule="exact"/>
              <w:rPr>
                <w:sz w:val="20"/>
                <w:szCs w:val="20"/>
                <w:color w:val="auto"/>
              </w:rPr>
            </w:pPr>
            <w:r>
              <w:rPr>
                <w:rFonts w:ascii="Times New Roman" w:cs="Times New Roman" w:eastAsia="Times New Roman" w:hAnsi="Times New Roman"/>
                <w:sz w:val="12"/>
                <w:szCs w:val="12"/>
                <w:color w:val="auto"/>
              </w:rPr>
              <w:t>Total liabilities and stockholders' equity</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2,345,623</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2,457,658</w:t>
            </w:r>
          </w:p>
        </w:tc>
      </w:tr>
      <w:tr>
        <w:trPr>
          <w:trHeight w:val="20"/>
        </w:trPr>
        <w:tc>
          <w:tcPr>
            <w:tcW w:w="7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719"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5"/>
          </w:tcPr>
          <w:p>
            <w:pPr>
              <w:ind w:left="740"/>
              <w:spacing w:after="0"/>
              <w:rPr>
                <w:sz w:val="20"/>
                <w:szCs w:val="20"/>
                <w:color w:val="auto"/>
              </w:rPr>
            </w:pPr>
            <w:r>
              <w:rPr>
                <w:rFonts w:ascii="Times New Roman" w:cs="Times New Roman" w:eastAsia="Times New Roman" w:hAnsi="Times New Roman"/>
                <w:sz w:val="12"/>
                <w:szCs w:val="12"/>
                <w:color w:val="auto"/>
              </w:rPr>
              <w:t>Three Months Ended</w:t>
            </w:r>
          </w:p>
        </w:tc>
        <w:tc>
          <w:tcPr>
            <w:tcW w:w="220" w:type="dxa"/>
            <w:vAlign w:val="bottom"/>
          </w:tcPr>
          <w:p>
            <w:pPr>
              <w:spacing w:after="0"/>
              <w:rPr>
                <w:sz w:val="13"/>
                <w:szCs w:val="13"/>
                <w:color w:val="auto"/>
              </w:rPr>
            </w:pPr>
          </w:p>
        </w:tc>
        <w:tc>
          <w:tcPr>
            <w:tcW w:w="2740" w:type="dxa"/>
            <w:vAlign w:val="bottom"/>
            <w:gridSpan w:val="4"/>
          </w:tcPr>
          <w:p>
            <w:pPr>
              <w:jc w:val="right"/>
              <w:ind w:right="980"/>
              <w:spacing w:after="0"/>
              <w:rPr>
                <w:sz w:val="20"/>
                <w:szCs w:val="20"/>
                <w:color w:val="auto"/>
              </w:rPr>
            </w:pPr>
            <w:r>
              <w:rPr>
                <w:rFonts w:ascii="Times New Roman" w:cs="Times New Roman" w:eastAsia="Times New Roman" w:hAnsi="Times New Roman"/>
                <w:sz w:val="12"/>
                <w:szCs w:val="12"/>
                <w:color w:val="auto"/>
              </w:rPr>
              <w:t>Six Months Ended</w:t>
            </w: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May 31, 2026</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rPr>
              <w:t>May 31, 2025</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May 31, 2026</w:t>
            </w: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rPr>
              <w:t>May 31, 2025</w:t>
            </w:r>
          </w:p>
        </w:tc>
      </w:tr>
      <w:tr>
        <w:trPr>
          <w:trHeight w:val="133"/>
        </w:trPr>
        <w:tc>
          <w:tcPr>
            <w:tcW w:w="53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activities:</w:t>
            </w:r>
          </w:p>
        </w:tc>
        <w:tc>
          <w:tcPr>
            <w:tcW w:w="2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r>
      <w:tr>
        <w:trPr>
          <w:trHeight w:val="153"/>
        </w:trPr>
        <w:tc>
          <w:tcPr>
            <w:tcW w:w="5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income</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21,073</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17,029</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43,886</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27,975</w:t>
            </w:r>
          </w:p>
        </w:tc>
      </w:tr>
      <w:tr>
        <w:trPr>
          <w:trHeight w:val="153"/>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38,186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39,568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75,646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78,777</w:t>
            </w:r>
          </w:p>
        </w:tc>
      </w:tr>
      <w:tr>
        <w:trPr>
          <w:trHeight w:val="153"/>
        </w:trPr>
        <w:tc>
          <w:tcPr>
            <w:tcW w:w="53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Stock-based compensation</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16,741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38,983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31,424</w:t>
            </w:r>
          </w:p>
        </w:tc>
      </w:tr>
      <w:tr>
        <w:trPr>
          <w:trHeight w:val="153"/>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Other non-cash adjustments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10,961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1,738</w:t>
            </w:r>
          </w:p>
        </w:tc>
      </w:tr>
      <w:tr>
        <w:trPr>
          <w:trHeight w:val="153"/>
        </w:trPr>
        <w:tc>
          <w:tcPr>
            <w:tcW w:w="53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(42,010)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7,987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(40,971)</w:t>
            </w:r>
          </w:p>
        </w:tc>
      </w:tr>
      <w:tr>
        <w:trPr>
          <w:trHeight w:val="142"/>
        </w:trPr>
        <w:tc>
          <w:tcPr>
            <w:tcW w:w="5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Net cash flows from operating activities</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78,837</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29,996</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177,463</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98,943</w:t>
            </w: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Capital expenditures</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(1,785)</w:t>
            </w:r>
          </w:p>
        </w:tc>
      </w:tr>
      <w:tr>
        <w:trPr>
          <w:trHeight w:val="15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Repurchases of common stock, net of issuances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(32,061)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(13,478)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(47,026)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(37,348)</w:t>
            </w:r>
          </w:p>
        </w:tc>
      </w:tr>
      <w:tr>
        <w:trPr>
          <w:trHeight w:val="153"/>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Dividend equivalent payments to stockholders</w:t>
            </w:r>
          </w:p>
        </w:tc>
        <w:tc>
          <w:tcPr>
            <w:tcW w:w="22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w:t>
            </w:r>
          </w:p>
        </w:tc>
      </w:tr>
      <w:tr>
        <w:trPr>
          <w:trHeight w:val="15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for acquisitions</w:t>
            </w: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w:t>
            </w:r>
          </w:p>
        </w:tc>
      </w:tr>
      <w:tr>
        <w:trPr>
          <w:trHeight w:val="153"/>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Repurchases of convertible senior notes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revolving line of credit</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360,000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360,000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Repayment of revolving line of credit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(70,000)</w:t>
            </w:r>
          </w:p>
        </w:tc>
      </w:tr>
      <w:tr>
        <w:trPr>
          <w:trHeight w:val="15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(4,032)</w:t>
            </w:r>
          </w:p>
        </w:tc>
      </w:tr>
      <w:tr>
        <w:trPr>
          <w:trHeight w:val="142"/>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change in cash and cash equivalents</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(10,193)</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(22,155)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8,171</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(16,071)</w:t>
            </w:r>
          </w:p>
        </w:tc>
      </w:tr>
      <w:tr>
        <w:trPr>
          <w:trHeight w:val="14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beginning of period</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113,171</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124,161</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94,807</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118,077</w:t>
            </w:r>
          </w:p>
        </w:tc>
      </w:tr>
      <w:tr>
        <w:trPr>
          <w:trHeight w:val="142"/>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end of period</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102,978</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102,006</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102,978</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102,006</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719"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RECONCILIATIONS OF GAAP TO NON-GAAP SELECTED FINANCIAL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2"/>
                <w:szCs w:val="12"/>
                <w:color w:val="auto"/>
              </w:rPr>
              <w:t>Three Months Ended</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2"/>
                <w:szCs w:val="12"/>
                <w:color w:val="auto"/>
              </w:rPr>
              <w:t>Six Months Ended</w:t>
            </w:r>
          </w:p>
        </w:tc>
        <w:tc>
          <w:tcPr>
            <w:tcW w:w="0" w:type="dxa"/>
            <w:vAlign w:val="bottom"/>
          </w:tcPr>
          <w:p>
            <w:pPr>
              <w:spacing w:after="0"/>
              <w:rPr>
                <w:sz w:val="1"/>
                <w:szCs w:val="1"/>
                <w:color w:val="auto"/>
              </w:rPr>
            </w:pPr>
          </w:p>
        </w:tc>
      </w:tr>
      <w:tr>
        <w:trPr>
          <w:trHeight w:val="142"/>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i w:val="1"/>
                <w:iCs w:val="1"/>
                <w:color w:val="auto"/>
              </w:rPr>
              <w:t>(in thousands, except per share data)</w:t>
            </w:r>
          </w:p>
        </w:tc>
        <w:tc>
          <w:tcPr>
            <w:tcW w:w="1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2"/>
                <w:szCs w:val="12"/>
                <w:color w:val="auto"/>
              </w:rPr>
              <w:t>May 31, 2026</w:t>
            </w: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2"/>
                <w:szCs w:val="12"/>
                <w:color w:val="auto"/>
              </w:rPr>
              <w:t>May 31, 2025</w:t>
            </w: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2"/>
                <w:szCs w:val="12"/>
                <w:color w:val="auto"/>
              </w:rPr>
              <w:t>May 31, 2026</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rPr>
              <w:t>May 31, 2025</w:t>
            </w:r>
          </w:p>
        </w:tc>
        <w:tc>
          <w:tcPr>
            <w:tcW w:w="0" w:type="dxa"/>
            <w:vAlign w:val="bottom"/>
          </w:tcPr>
          <w:p>
            <w:pPr>
              <w:spacing w:after="0"/>
              <w:rPr>
                <w:sz w:val="1"/>
                <w:szCs w:val="1"/>
                <w:color w:val="auto"/>
              </w:rPr>
            </w:pPr>
          </w:p>
        </w:tc>
      </w:tr>
      <w:tr>
        <w:trPr>
          <w:trHeight w:val="133"/>
        </w:trPr>
        <w:tc>
          <w:tcPr>
            <w:tcW w:w="3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Adjusted income from operations:</w:t>
            </w: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GAAP income from operations</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45,202</w:t>
            </w:r>
          </w:p>
        </w:tc>
        <w:tc>
          <w:tcPr>
            <w:tcW w:w="840" w:type="dxa"/>
            <w:vAlign w:val="bottom"/>
            <w:gridSpan w:val="2"/>
          </w:tcPr>
          <w:p>
            <w:pPr>
              <w:jc w:val="right"/>
              <w:ind w:right="62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38,616</w:t>
            </w:r>
          </w:p>
        </w:tc>
        <w:tc>
          <w:tcPr>
            <w:tcW w:w="100" w:type="dxa"/>
            <w:vAlign w:val="bottom"/>
          </w:tcPr>
          <w:p>
            <w:pPr>
              <w:spacing w:after="0"/>
              <w:rPr>
                <w:sz w:val="13"/>
                <w:szCs w:val="13"/>
                <w:color w:val="auto"/>
              </w:rPr>
            </w:pPr>
          </w:p>
        </w:tc>
        <w:tc>
          <w:tcPr>
            <w:tcW w:w="500" w:type="dxa"/>
            <w:vAlign w:val="bottom"/>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91,667</w:t>
            </w:r>
          </w:p>
        </w:tc>
        <w:tc>
          <w:tcPr>
            <w:tcW w:w="380" w:type="dxa"/>
            <w:vAlign w:val="bottom"/>
            <w:gridSpan w:val="3"/>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71,042</w:t>
            </w:r>
          </w:p>
        </w:tc>
        <w:tc>
          <w:tcPr>
            <w:tcW w:w="0" w:type="dxa"/>
            <w:vAlign w:val="bottom"/>
          </w:tcPr>
          <w:p>
            <w:pPr>
              <w:spacing w:after="0"/>
              <w:rPr>
                <w:sz w:val="1"/>
                <w:szCs w:val="1"/>
                <w:color w:val="auto"/>
              </w:rPr>
            </w:pP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Amortization of acquired intangibles</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35,105</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36,600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69,473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72,830</w:t>
            </w:r>
          </w:p>
        </w:tc>
        <w:tc>
          <w:tcPr>
            <w:tcW w:w="0" w:type="dxa"/>
            <w:vAlign w:val="bottom"/>
          </w:tcPr>
          <w:p>
            <w:pPr>
              <w:spacing w:after="0"/>
              <w:rPr>
                <w:sz w:val="1"/>
                <w:szCs w:val="1"/>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20,509</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16,741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38,983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31,424</w:t>
            </w:r>
          </w:p>
        </w:tc>
        <w:tc>
          <w:tcPr>
            <w:tcW w:w="0" w:type="dxa"/>
            <w:vAlign w:val="bottom"/>
          </w:tcPr>
          <w:p>
            <w:pPr>
              <w:spacing w:after="0"/>
              <w:rPr>
                <w:sz w:val="1"/>
                <w:szCs w:val="1"/>
                <w:color w:val="auto"/>
              </w:rPr>
            </w:pP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Restructuring expenses</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1,480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8,072</w:t>
            </w:r>
          </w:p>
        </w:tc>
        <w:tc>
          <w:tcPr>
            <w:tcW w:w="0" w:type="dxa"/>
            <w:vAlign w:val="bottom"/>
          </w:tcPr>
          <w:p>
            <w:pPr>
              <w:spacing w:after="0"/>
              <w:rPr>
                <w:sz w:val="1"/>
                <w:szCs w:val="1"/>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Acquisition-related expenses</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(939)</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4,221</w:t>
            </w:r>
          </w:p>
        </w:tc>
        <w:tc>
          <w:tcPr>
            <w:tcW w:w="0" w:type="dxa"/>
            <w:vAlign w:val="bottom"/>
          </w:tcPr>
          <w:p>
            <w:pPr>
              <w:spacing w:after="0"/>
              <w:rPr>
                <w:sz w:val="1"/>
                <w:szCs w:val="1"/>
                <w:color w:val="auto"/>
              </w:rPr>
            </w:pP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Cyber vulnerability response expenses, net</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1,266</w:t>
            </w: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2,624</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1,467</w:t>
            </w:r>
          </w:p>
        </w:tc>
        <w:tc>
          <w:tcPr>
            <w:tcW w:w="0" w:type="dxa"/>
            <w:vAlign w:val="bottom"/>
          </w:tcPr>
          <w:p>
            <w:pPr>
              <w:spacing w:after="0"/>
              <w:rPr>
                <w:sz w:val="1"/>
                <w:szCs w:val="1"/>
                <w:color w:val="auto"/>
              </w:rPr>
            </w:pPr>
          </w:p>
        </w:tc>
      </w:tr>
      <w:tr>
        <w:trPr>
          <w:trHeight w:val="142"/>
        </w:trPr>
        <w:tc>
          <w:tcPr>
            <w:tcW w:w="3940" w:type="dxa"/>
            <w:vAlign w:val="bottom"/>
          </w:tcPr>
          <w:p>
            <w:pPr>
              <w:ind w:left="440"/>
              <w:spacing w:after="0" w:line="135" w:lineRule="exact"/>
              <w:rPr>
                <w:sz w:val="20"/>
                <w:szCs w:val="20"/>
                <w:color w:val="auto"/>
              </w:rPr>
            </w:pPr>
            <w:r>
              <w:rPr>
                <w:rFonts w:ascii="Times New Roman" w:cs="Times New Roman" w:eastAsia="Times New Roman" w:hAnsi="Times New Roman"/>
                <w:sz w:val="12"/>
                <w:szCs w:val="12"/>
                <w:color w:val="auto"/>
              </w:rPr>
              <w:t>Non-GAAP income from operations</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102,623</w:t>
            </w:r>
          </w:p>
        </w:tc>
        <w:tc>
          <w:tcPr>
            <w:tcW w:w="100" w:type="dxa"/>
            <w:vAlign w:val="bottom"/>
          </w:tcPr>
          <w:p>
            <w:pPr>
              <w:spacing w:after="0"/>
              <w:rPr>
                <w:sz w:val="12"/>
                <w:szCs w:val="12"/>
                <w:color w:val="auto"/>
              </w:rPr>
            </w:pPr>
          </w:p>
        </w:tc>
        <w:tc>
          <w:tcPr>
            <w:tcW w:w="74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95,461</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204,808</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189,056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net income:</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GAAP net income</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21,073</w:t>
            </w:r>
          </w:p>
        </w:tc>
        <w:tc>
          <w:tcPr>
            <w:tcW w:w="840" w:type="dxa"/>
            <w:vAlign w:val="bottom"/>
            <w:gridSpan w:val="2"/>
          </w:tcPr>
          <w:p>
            <w:pPr>
              <w:jc w:val="right"/>
              <w:ind w:right="62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17,029</w:t>
            </w:r>
          </w:p>
        </w:tc>
        <w:tc>
          <w:tcPr>
            <w:tcW w:w="100" w:type="dxa"/>
            <w:vAlign w:val="bottom"/>
          </w:tcPr>
          <w:p>
            <w:pPr>
              <w:spacing w:after="0"/>
              <w:rPr>
                <w:sz w:val="13"/>
                <w:szCs w:val="13"/>
                <w:color w:val="auto"/>
              </w:rPr>
            </w:pPr>
          </w:p>
        </w:tc>
        <w:tc>
          <w:tcPr>
            <w:tcW w:w="500" w:type="dxa"/>
            <w:vAlign w:val="bottom"/>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43,886</w:t>
            </w:r>
          </w:p>
        </w:tc>
        <w:tc>
          <w:tcPr>
            <w:tcW w:w="380" w:type="dxa"/>
            <w:vAlign w:val="bottom"/>
            <w:gridSpan w:val="3"/>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27,975</w:t>
            </w:r>
          </w:p>
        </w:tc>
        <w:tc>
          <w:tcPr>
            <w:tcW w:w="0" w:type="dxa"/>
            <w:vAlign w:val="bottom"/>
          </w:tcPr>
          <w:p>
            <w:pPr>
              <w:spacing w:after="0"/>
              <w:rPr>
                <w:sz w:val="1"/>
                <w:szCs w:val="1"/>
                <w:color w:val="auto"/>
              </w:rPr>
            </w:pP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Amortization of acquired intangibles</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35,105</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36,600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69,473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72,830</w:t>
            </w:r>
          </w:p>
        </w:tc>
        <w:tc>
          <w:tcPr>
            <w:tcW w:w="0" w:type="dxa"/>
            <w:vAlign w:val="bottom"/>
          </w:tcPr>
          <w:p>
            <w:pPr>
              <w:spacing w:after="0"/>
              <w:rPr>
                <w:sz w:val="1"/>
                <w:szCs w:val="1"/>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20,509</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16,741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38,983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31,424</w:t>
            </w:r>
          </w:p>
        </w:tc>
        <w:tc>
          <w:tcPr>
            <w:tcW w:w="0" w:type="dxa"/>
            <w:vAlign w:val="bottom"/>
          </w:tcPr>
          <w:p>
            <w:pPr>
              <w:spacing w:after="0"/>
              <w:rPr>
                <w:sz w:val="1"/>
                <w:szCs w:val="1"/>
                <w:color w:val="auto"/>
              </w:rPr>
            </w:pP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Restructuring expenses</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1,480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8,072</w:t>
            </w:r>
          </w:p>
        </w:tc>
        <w:tc>
          <w:tcPr>
            <w:tcW w:w="0" w:type="dxa"/>
            <w:vAlign w:val="bottom"/>
          </w:tcPr>
          <w:p>
            <w:pPr>
              <w:spacing w:after="0"/>
              <w:rPr>
                <w:sz w:val="1"/>
                <w:szCs w:val="1"/>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Acquisition-related expenses</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(939)</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4,221</w:t>
            </w:r>
          </w:p>
        </w:tc>
        <w:tc>
          <w:tcPr>
            <w:tcW w:w="0" w:type="dxa"/>
            <w:vAlign w:val="bottom"/>
          </w:tcPr>
          <w:p>
            <w:pPr>
              <w:spacing w:after="0"/>
              <w:rPr>
                <w:sz w:val="1"/>
                <w:szCs w:val="1"/>
                <w:color w:val="auto"/>
              </w:rPr>
            </w:pP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Cyber vulnerability response expenses, net</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1,266</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1,467</w:t>
            </w:r>
          </w:p>
        </w:tc>
        <w:tc>
          <w:tcPr>
            <w:tcW w:w="0" w:type="dxa"/>
            <w:vAlign w:val="bottom"/>
          </w:tcPr>
          <w:p>
            <w:pPr>
              <w:spacing w:after="0"/>
              <w:rPr>
                <w:sz w:val="1"/>
                <w:szCs w:val="1"/>
                <w:color w:val="auto"/>
              </w:rPr>
            </w:pPr>
          </w:p>
        </w:tc>
      </w:tr>
      <w:tr>
        <w:trPr>
          <w:trHeight w:val="153"/>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6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(10,125)</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(12,125)</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(20,358)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(25,245)</w:t>
            </w:r>
          </w:p>
        </w:tc>
        <w:tc>
          <w:tcPr>
            <w:tcW w:w="0" w:type="dxa"/>
            <w:vAlign w:val="bottom"/>
          </w:tcPr>
          <w:p>
            <w:pPr>
              <w:spacing w:after="0"/>
              <w:rPr>
                <w:sz w:val="1"/>
                <w:szCs w:val="1"/>
                <w:color w:val="auto"/>
              </w:rPr>
            </w:pPr>
          </w:p>
        </w:tc>
      </w:tr>
      <w:tr>
        <w:trPr>
          <w:trHeight w:val="158"/>
        </w:trPr>
        <w:tc>
          <w:tcPr>
            <w:tcW w:w="3940" w:type="dxa"/>
            <w:vAlign w:val="bottom"/>
            <w:tcBorders>
              <w:bottom w:val="single" w:sz="8" w:color="CCEEFF"/>
            </w:tcBorders>
            <w:shd w:val="clear" w:color="auto" w:fill="CCEEFF"/>
          </w:tcPr>
          <w:p>
            <w:pPr>
              <w:ind w:left="440"/>
              <w:spacing w:after="0" w:line="135" w:lineRule="exact"/>
              <w:rPr>
                <w:sz w:val="20"/>
                <w:szCs w:val="20"/>
                <w:color w:val="auto"/>
              </w:rPr>
            </w:pPr>
            <w:r>
              <w:rPr>
                <w:rFonts w:ascii="Times New Roman" w:cs="Times New Roman" w:eastAsia="Times New Roman" w:hAnsi="Times New Roman"/>
                <w:sz w:val="12"/>
                <w:szCs w:val="12"/>
                <w:color w:val="auto"/>
              </w:rPr>
              <w:t>Non-GAAP net income</w:t>
            </w: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68,369</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61,749</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136,669</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120,744</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diluted earnings per share:</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GAAP diluted earnings per share</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0.50</w:t>
            </w:r>
          </w:p>
        </w:tc>
        <w:tc>
          <w:tcPr>
            <w:tcW w:w="840" w:type="dxa"/>
            <w:vAlign w:val="bottom"/>
            <w:gridSpan w:val="2"/>
          </w:tcPr>
          <w:p>
            <w:pPr>
              <w:jc w:val="right"/>
              <w:ind w:right="62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0.39</w:t>
            </w:r>
          </w:p>
        </w:tc>
        <w:tc>
          <w:tcPr>
            <w:tcW w:w="100" w:type="dxa"/>
            <w:vAlign w:val="bottom"/>
          </w:tcPr>
          <w:p>
            <w:pPr>
              <w:spacing w:after="0"/>
              <w:rPr>
                <w:sz w:val="13"/>
                <w:szCs w:val="13"/>
                <w:color w:val="auto"/>
              </w:rPr>
            </w:pPr>
          </w:p>
        </w:tc>
        <w:tc>
          <w:tcPr>
            <w:tcW w:w="500" w:type="dxa"/>
            <w:vAlign w:val="bottom"/>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380" w:type="dxa"/>
            <w:vAlign w:val="bottom"/>
            <w:gridSpan w:val="3"/>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0.63</w:t>
            </w:r>
          </w:p>
        </w:tc>
        <w:tc>
          <w:tcPr>
            <w:tcW w:w="0" w:type="dxa"/>
            <w:vAlign w:val="bottom"/>
          </w:tcPr>
          <w:p>
            <w:pPr>
              <w:spacing w:after="0"/>
              <w:rPr>
                <w:sz w:val="1"/>
                <w:szCs w:val="1"/>
                <w:color w:val="auto"/>
              </w:rPr>
            </w:pP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Amortization of acquired intangibles</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0.83</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0" w:type="dxa"/>
            <w:vAlign w:val="bottom"/>
          </w:tcPr>
          <w:p>
            <w:pPr>
              <w:spacing w:after="0"/>
              <w:rPr>
                <w:sz w:val="1"/>
                <w:szCs w:val="1"/>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0.49</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0.71</w:t>
            </w:r>
          </w:p>
        </w:tc>
        <w:tc>
          <w:tcPr>
            <w:tcW w:w="0" w:type="dxa"/>
            <w:vAlign w:val="bottom"/>
          </w:tcPr>
          <w:p>
            <w:pPr>
              <w:spacing w:after="0"/>
              <w:rPr>
                <w:sz w:val="1"/>
                <w:szCs w:val="1"/>
                <w:color w:val="auto"/>
              </w:rPr>
            </w:pP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Restructuring expenses</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0.03</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0.18</w:t>
            </w:r>
          </w:p>
        </w:tc>
        <w:tc>
          <w:tcPr>
            <w:tcW w:w="0" w:type="dxa"/>
            <w:vAlign w:val="bottom"/>
          </w:tcPr>
          <w:p>
            <w:pPr>
              <w:spacing w:after="0"/>
              <w:rPr>
                <w:sz w:val="1"/>
                <w:szCs w:val="1"/>
                <w:color w:val="auto"/>
              </w:rPr>
            </w:pPr>
          </w:p>
        </w:tc>
      </w:tr>
      <w:tr>
        <w:trPr>
          <w:trHeight w:val="153"/>
        </w:trPr>
        <w:tc>
          <w:tcPr>
            <w:tcW w:w="3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Acquisition-related expenses</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(0.02)</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0.09</w:t>
            </w:r>
          </w:p>
        </w:tc>
        <w:tc>
          <w:tcPr>
            <w:tcW w:w="0" w:type="dxa"/>
            <w:vAlign w:val="bottom"/>
          </w:tcPr>
          <w:p>
            <w:pPr>
              <w:spacing w:after="0"/>
              <w:rPr>
                <w:sz w:val="1"/>
                <w:szCs w:val="1"/>
                <w:color w:val="auto"/>
              </w:rPr>
            </w:pPr>
          </w:p>
        </w:tc>
      </w:tr>
      <w:tr>
        <w:trPr>
          <w:trHeight w:val="15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Cyber vulnerability response expenses, net</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0.03</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53"/>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6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(0.24)</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(0.27)</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(0.57)</w:t>
            </w:r>
          </w:p>
        </w:tc>
        <w:tc>
          <w:tcPr>
            <w:tcW w:w="0" w:type="dxa"/>
            <w:vAlign w:val="bottom"/>
          </w:tcPr>
          <w:p>
            <w:pPr>
              <w:spacing w:after="0"/>
              <w:rPr>
                <w:sz w:val="1"/>
                <w:szCs w:val="1"/>
                <w:color w:val="auto"/>
              </w:rPr>
            </w:pPr>
          </w:p>
        </w:tc>
      </w:tr>
      <w:tr>
        <w:trPr>
          <w:trHeight w:val="158"/>
        </w:trPr>
        <w:tc>
          <w:tcPr>
            <w:tcW w:w="3940" w:type="dxa"/>
            <w:vAlign w:val="bottom"/>
            <w:tcBorders>
              <w:bottom w:val="single" w:sz="8" w:color="CCEEFF"/>
            </w:tcBorders>
            <w:shd w:val="clear" w:color="auto" w:fill="CCEEFF"/>
          </w:tcPr>
          <w:p>
            <w:pPr>
              <w:ind w:left="440"/>
              <w:spacing w:after="0" w:line="135" w:lineRule="exact"/>
              <w:rPr>
                <w:sz w:val="20"/>
                <w:szCs w:val="20"/>
                <w:color w:val="auto"/>
              </w:rPr>
            </w:pPr>
            <w:r>
              <w:rPr>
                <w:rFonts w:ascii="Times New Roman" w:cs="Times New Roman" w:eastAsia="Times New Roman" w:hAnsi="Times New Roman"/>
                <w:sz w:val="12"/>
                <w:szCs w:val="12"/>
                <w:color w:val="auto"/>
              </w:rPr>
              <w:t>Non-GAAP diluted earnings per share</w:t>
            </w: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1.62</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Non-GAAP weighted avg shares outstanding - diluted</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42,310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44,156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42,519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44,522</w:t>
            </w:r>
          </w:p>
        </w:tc>
        <w:tc>
          <w:tcPr>
            <w:tcW w:w="0" w:type="dxa"/>
            <w:vAlign w:val="bottom"/>
          </w:tcPr>
          <w:p>
            <w:pPr>
              <w:spacing w:after="0"/>
              <w:rPr>
                <w:sz w:val="1"/>
                <w:szCs w:val="1"/>
                <w:color w:val="auto"/>
              </w:rPr>
            </w:pPr>
          </w:p>
        </w:tc>
      </w:tr>
      <w:tr>
        <w:trPr>
          <w:trHeight w:val="349"/>
        </w:trPr>
        <w:tc>
          <w:tcPr>
            <w:tcW w:w="3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NON-GAAP FINANCIAL MEASURES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(Unaudited)</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3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Free Cash Flow and Unlevered Free Cash Flow</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5"/>
            <w:vMerge w:val="restart"/>
          </w:tcPr>
          <w:p>
            <w:pPr>
              <w:jc w:val="right"/>
              <w:ind w:right="460"/>
              <w:spacing w:after="0"/>
              <w:rPr>
                <w:sz w:val="20"/>
                <w:szCs w:val="20"/>
                <w:color w:val="auto"/>
              </w:rPr>
            </w:pPr>
            <w:r>
              <w:rPr>
                <w:rFonts w:ascii="Times New Roman" w:cs="Times New Roman" w:eastAsia="Times New Roman" w:hAnsi="Times New Roman"/>
                <w:sz w:val="12"/>
                <w:szCs w:val="12"/>
                <w:color w:val="auto"/>
              </w:rPr>
              <w:t>Three Months Ended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2"/>
                <w:szCs w:val="12"/>
                <w:color w:val="auto"/>
                <w:w w:val="98"/>
              </w:rPr>
              <w:t>Six Months Ended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vMerge w:val="continue"/>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60" w:type="dxa"/>
            <w:vAlign w:val="bottom"/>
          </w:tcPr>
          <w:p>
            <w:pPr>
              <w:spacing w:after="0"/>
              <w:rPr>
                <w:sz w:val="12"/>
                <w:szCs w:val="12"/>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May 31, 2026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right"/>
              <w:ind w:right="580"/>
              <w:spacing w:after="0"/>
              <w:rPr>
                <w:sz w:val="20"/>
                <w:szCs w:val="20"/>
                <w:color w:val="auto"/>
              </w:rPr>
            </w:pPr>
            <w:r>
              <w:rPr>
                <w:rFonts w:ascii="Times New Roman" w:cs="Times New Roman" w:eastAsia="Times New Roman" w:hAnsi="Times New Roman"/>
                <w:sz w:val="12"/>
                <w:szCs w:val="12"/>
                <w:color w:val="auto"/>
              </w:rPr>
              <w:t>May 31, 2025</w:t>
            </w:r>
          </w:p>
        </w:tc>
        <w:tc>
          <w:tcPr>
            <w:tcW w:w="840" w:type="dxa"/>
            <w:vAlign w:val="bottom"/>
            <w:gridSpan w:val="2"/>
          </w:tcPr>
          <w:p>
            <w:pPr>
              <w:jc w:val="right"/>
              <w:ind w:right="225"/>
              <w:spacing w:after="0"/>
              <w:rPr>
                <w:sz w:val="20"/>
                <w:szCs w:val="20"/>
                <w:color w:val="auto"/>
              </w:rPr>
            </w:pPr>
            <w:r>
              <w:rPr>
                <w:rFonts w:ascii="Times New Roman" w:cs="Times New Roman" w:eastAsia="Times New Roman" w:hAnsi="Times New Roman"/>
                <w:sz w:val="12"/>
                <w:szCs w:val="12"/>
                <w:i w:val="1"/>
                <w:iCs w:val="1"/>
                <w:color w:val="auto"/>
              </w:rPr>
              <w:t>% Change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ind w:left="140"/>
              <w:spacing w:after="0"/>
              <w:rPr>
                <w:sz w:val="20"/>
                <w:szCs w:val="20"/>
                <w:color w:val="auto"/>
              </w:rPr>
            </w:pPr>
            <w:r>
              <w:rPr>
                <w:rFonts w:ascii="Times New Roman" w:cs="Times New Roman" w:eastAsia="Times New Roman" w:hAnsi="Times New Roman"/>
                <w:sz w:val="12"/>
                <w:szCs w:val="12"/>
                <w:color w:val="auto"/>
              </w:rPr>
              <w:t>May 31, 2026</w:t>
            </w:r>
          </w:p>
        </w:tc>
        <w:tc>
          <w:tcPr>
            <w:tcW w:w="80" w:type="dxa"/>
            <w:vAlign w:val="bottom"/>
          </w:tcPr>
          <w:p>
            <w:pPr>
              <w:spacing w:after="0"/>
              <w:rPr>
                <w:sz w:val="12"/>
                <w:szCs w:val="12"/>
                <w:color w:val="auto"/>
              </w:rPr>
            </w:pPr>
          </w:p>
        </w:tc>
        <w:tc>
          <w:tcPr>
            <w:tcW w:w="1200" w:type="dxa"/>
            <w:vAlign w:val="bottom"/>
            <w:gridSpan w:val="5"/>
          </w:tcPr>
          <w:p>
            <w:pPr>
              <w:ind w:left="180"/>
              <w:spacing w:after="0"/>
              <w:rPr>
                <w:sz w:val="20"/>
                <w:szCs w:val="20"/>
                <w:color w:val="auto"/>
              </w:rPr>
            </w:pPr>
            <w:r>
              <w:rPr>
                <w:rFonts w:ascii="Times New Roman" w:cs="Times New Roman" w:eastAsia="Times New Roman" w:hAnsi="Times New Roman"/>
                <w:sz w:val="12"/>
                <w:szCs w:val="12"/>
                <w:color w:val="auto"/>
              </w:rPr>
              <w:t>May 31, 2025</w:t>
            </w:r>
          </w:p>
        </w:tc>
        <w:tc>
          <w:tcPr>
            <w:tcW w:w="1080" w:type="dxa"/>
            <w:vAlign w:val="bottom"/>
          </w:tcPr>
          <w:p>
            <w:pPr>
              <w:jc w:val="right"/>
              <w:ind w:right="240"/>
              <w:spacing w:after="0"/>
              <w:rPr>
                <w:sz w:val="20"/>
                <w:szCs w:val="20"/>
                <w:color w:val="auto"/>
              </w:rPr>
            </w:pPr>
            <w:r>
              <w:rPr>
                <w:rFonts w:ascii="Times New Roman" w:cs="Times New Roman" w:eastAsia="Times New Roman" w:hAnsi="Times New Roman"/>
                <w:sz w:val="12"/>
                <w:szCs w:val="12"/>
                <w:i w:val="1"/>
                <w:iCs w:val="1"/>
                <w:color w:val="auto"/>
              </w:rPr>
              <w:t>% Change</w:t>
            </w: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operations</w:t>
            </w: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78,837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29,996</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163 %</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177,463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98,943</w:t>
            </w: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79 %</w:t>
            </w:r>
          </w:p>
        </w:tc>
        <w:tc>
          <w:tcPr>
            <w:tcW w:w="0" w:type="dxa"/>
            <w:vAlign w:val="bottom"/>
          </w:tcPr>
          <w:p>
            <w:pPr>
              <w:spacing w:after="0"/>
              <w:rPr>
                <w:sz w:val="1"/>
                <w:szCs w:val="1"/>
                <w:color w:val="auto"/>
              </w:rPr>
            </w:pPr>
          </w:p>
        </w:tc>
      </w:tr>
      <w:tr>
        <w:trPr>
          <w:trHeight w:val="153"/>
        </w:trPr>
        <w:tc>
          <w:tcPr>
            <w:tcW w:w="3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i w:val="1"/>
                <w:iCs w:val="1"/>
                <w:color w:val="auto"/>
              </w:rPr>
              <w:t>277 %</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(4,569)</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w w:val="97"/>
              </w:rPr>
              <w:t>(1,785)</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156 %</w:t>
            </w: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Free cash flow</w:t>
            </w: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76,973</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29,501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161 %</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172,894</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97,158</w:t>
            </w:r>
          </w:p>
        </w:tc>
        <w:tc>
          <w:tcPr>
            <w:tcW w:w="10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78 %</w:t>
            </w:r>
          </w:p>
        </w:tc>
        <w:tc>
          <w:tcPr>
            <w:tcW w:w="0" w:type="dxa"/>
            <w:vAlign w:val="bottom"/>
          </w:tcPr>
          <w:p>
            <w:pPr>
              <w:spacing w:after="0"/>
              <w:rPr>
                <w:sz w:val="1"/>
                <w:szCs w:val="1"/>
                <w:color w:val="auto"/>
              </w:rPr>
            </w:pPr>
          </w:p>
        </w:tc>
      </w:tr>
      <w:tr>
        <w:trPr>
          <w:trHeight w:val="142"/>
        </w:trPr>
        <w:tc>
          <w:tcPr>
            <w:tcW w:w="3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Add back: restructuring payments</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2,233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7,567</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i w:val="1"/>
                <w:iCs w:val="1"/>
                <w:color w:val="auto"/>
              </w:rPr>
              <w:t>(70)%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5,157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w w:val="96"/>
              </w:rPr>
              <w:t>13,121</w:t>
            </w: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(61)%</w:t>
            </w:r>
          </w:p>
        </w:tc>
        <w:tc>
          <w:tcPr>
            <w:tcW w:w="0" w:type="dxa"/>
            <w:vAlign w:val="bottom"/>
          </w:tcPr>
          <w:p>
            <w:pPr>
              <w:spacing w:after="0"/>
              <w:rPr>
                <w:sz w:val="1"/>
                <w:szCs w:val="1"/>
                <w:color w:val="auto"/>
              </w:rPr>
            </w:pPr>
          </w:p>
        </w:tc>
      </w:tr>
      <w:tr>
        <w:trPr>
          <w:trHeight w:val="162"/>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free cash flow</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79,206</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37,068</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114 %</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178,051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110,279</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61 %</w:t>
            </w:r>
          </w:p>
        </w:tc>
        <w:tc>
          <w:tcPr>
            <w:tcW w:w="0" w:type="dxa"/>
            <w:vAlign w:val="bottom"/>
          </w:tcPr>
          <w:p>
            <w:pPr>
              <w:spacing w:after="0"/>
              <w:rPr>
                <w:sz w:val="1"/>
                <w:szCs w:val="1"/>
                <w:color w:val="auto"/>
              </w:rPr>
            </w:pPr>
          </w:p>
        </w:tc>
      </w:tr>
      <w:tr>
        <w:trPr>
          <w:trHeight w:val="149"/>
        </w:trPr>
        <w:tc>
          <w:tcPr>
            <w:tcW w:w="3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Add back: tax-effected interest expense</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12,729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14,511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i w:val="1"/>
                <w:iCs w:val="1"/>
                <w:color w:val="auto"/>
              </w:rPr>
              <w:t>(12)%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24,926</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w w:val="96"/>
              </w:rPr>
              <w:t>29,253</w:t>
            </w: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i w:val="1"/>
                <w:iCs w:val="1"/>
                <w:color w:val="auto"/>
              </w:rPr>
              <w:t>(15)%</w:t>
            </w:r>
          </w:p>
        </w:tc>
        <w:tc>
          <w:tcPr>
            <w:tcW w:w="0" w:type="dxa"/>
            <w:vAlign w:val="bottom"/>
          </w:tcPr>
          <w:p>
            <w:pPr>
              <w:spacing w:after="0"/>
              <w:rPr>
                <w:sz w:val="1"/>
                <w:szCs w:val="1"/>
                <w:color w:val="auto"/>
              </w:rPr>
            </w:pPr>
          </w:p>
        </w:tc>
      </w:tr>
      <w:tr>
        <w:trPr>
          <w:trHeight w:val="158"/>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Unlevered free cash flow</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91,935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51,579</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78 %</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202,977</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139,532</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45 %</w:t>
            </w:r>
          </w:p>
        </w:tc>
        <w:tc>
          <w:tcPr>
            <w:tcW w:w="0" w:type="dxa"/>
            <w:vAlign w:val="bottom"/>
          </w:tcPr>
          <w:p>
            <w:pPr>
              <w:spacing w:after="0"/>
              <w:rPr>
                <w:sz w:val="1"/>
                <w:szCs w:val="1"/>
                <w:color w:val="auto"/>
              </w:rPr>
            </w:pPr>
          </w:p>
        </w:tc>
      </w:tr>
      <w:tr>
        <w:trPr>
          <w:trHeight w:val="657"/>
        </w:trPr>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19" w:right="299" w:bottom="1440" w:gutter="0" w:footer="0" w:header="0"/>
        </w:sectPr>
      </w:pPr>
    </w:p>
    <w:bookmarkStart w:id="9" w:name="page10"/>
    <w:bookmarkEnd w:id="9"/>
    <w:p>
      <w:pPr>
        <w:ind w:right="52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RECONCILIATIONS OF GAAP TO NON-GAAP FINANCIAL MEASURES FOR FISCAL YEAR 2026 GUIDANCE </w:t>
      </w:r>
      <w:r>
        <w:rPr>
          <w:rFonts w:ascii="Times New Roman" w:cs="Times New Roman" w:eastAsia="Times New Roman" w:hAnsi="Times New Roman"/>
          <w:sz w:val="12"/>
          <w:szCs w:val="12"/>
          <w:color w:val="auto"/>
        </w:rPr>
        <w:t>(Unaudited)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Fiscal Year 2026 Updated Non-GAAP Operating Margin Guidance</w:t>
      </w:r>
    </w:p>
    <w:p>
      <w:pPr>
        <w:spacing w:after="0" w:line="2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2"/>
          <w:szCs w:val="12"/>
          <w:color w:val="auto"/>
        </w:rPr>
        <w:t>Fiscal Year Ending November 30, 2026</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ind w:left="360"/>
              <w:spacing w:after="0"/>
              <w:rPr>
                <w:sz w:val="20"/>
                <w:szCs w:val="20"/>
                <w:color w:val="auto"/>
              </w:rPr>
            </w:pPr>
            <w:r>
              <w:rPr>
                <w:rFonts w:ascii="Times New Roman" w:cs="Times New Roman" w:eastAsia="Times New Roman" w:hAnsi="Times New Roman"/>
                <w:sz w:val="12"/>
                <w:szCs w:val="12"/>
                <w:color w:val="auto"/>
              </w:rPr>
              <w:t>Low</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841"/>
              <w:spacing w:after="0"/>
              <w:rPr>
                <w:sz w:val="20"/>
                <w:szCs w:val="20"/>
                <w:color w:val="auto"/>
              </w:rPr>
            </w:pPr>
            <w:r>
              <w:rPr>
                <w:rFonts w:ascii="Times New Roman" w:cs="Times New Roman" w:eastAsia="Times New Roman" w:hAnsi="Times New Roman"/>
                <w:sz w:val="12"/>
                <w:szCs w:val="12"/>
                <w:color w:val="auto"/>
              </w:rPr>
              <w:t>High</w:t>
            </w:r>
          </w:p>
        </w:tc>
        <w:tc>
          <w:tcPr>
            <w:tcW w:w="0" w:type="dxa"/>
            <w:vAlign w:val="bottom"/>
          </w:tcPr>
          <w:p>
            <w:pPr>
              <w:spacing w:after="0"/>
              <w:rPr>
                <w:sz w:val="1"/>
                <w:szCs w:val="1"/>
                <w:color w:val="auto"/>
              </w:rPr>
            </w:pPr>
          </w:p>
        </w:tc>
      </w:tr>
      <w:tr>
        <w:trPr>
          <w:trHeight w:val="142"/>
        </w:trPr>
        <w:tc>
          <w:tcPr>
            <w:tcW w:w="712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GAAP income from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157.2</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164.1</w:t>
            </w:r>
          </w:p>
        </w:tc>
        <w:tc>
          <w:tcPr>
            <w:tcW w:w="0" w:type="dxa"/>
            <w:vAlign w:val="bottom"/>
          </w:tcPr>
          <w:p>
            <w:pPr>
              <w:spacing w:after="0"/>
              <w:rPr>
                <w:sz w:val="1"/>
                <w:szCs w:val="1"/>
                <w:color w:val="auto"/>
              </w:rPr>
            </w:pPr>
          </w:p>
        </w:tc>
      </w:tr>
      <w:tr>
        <w:trPr>
          <w:trHeight w:val="130"/>
        </w:trPr>
        <w:tc>
          <w:tcPr>
            <w:tcW w:w="71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GAAP operating margin</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16 %</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16 %</w:t>
            </w:r>
          </w:p>
        </w:tc>
        <w:tc>
          <w:tcPr>
            <w:tcW w:w="0" w:type="dxa"/>
            <w:vAlign w:val="bottom"/>
          </w:tcPr>
          <w:p>
            <w:pPr>
              <w:spacing w:after="0"/>
              <w:rPr>
                <w:sz w:val="1"/>
                <w:szCs w:val="1"/>
                <w:color w:val="auto"/>
              </w:rPr>
            </w:pPr>
          </w:p>
        </w:tc>
      </w:tr>
      <w:tr>
        <w:trPr>
          <w:trHeight w:val="158"/>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Restructuring expense</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53"/>
        </w:trPr>
        <w:tc>
          <w:tcPr>
            <w:tcW w:w="7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73.5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73.5</w:t>
            </w:r>
          </w:p>
        </w:tc>
        <w:tc>
          <w:tcPr>
            <w:tcW w:w="0" w:type="dxa"/>
            <w:vAlign w:val="bottom"/>
          </w:tcPr>
          <w:p>
            <w:pPr>
              <w:spacing w:after="0"/>
              <w:rPr>
                <w:sz w:val="1"/>
                <w:szCs w:val="1"/>
                <w:color w:val="auto"/>
              </w:rPr>
            </w:pPr>
          </w:p>
        </w:tc>
      </w:tr>
      <w:tr>
        <w:trPr>
          <w:trHeight w:val="15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Acquisition-related expenses</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53"/>
        </w:trPr>
        <w:tc>
          <w:tcPr>
            <w:tcW w:w="7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acquired intangibles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137.3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137.3</w:t>
            </w:r>
          </w:p>
        </w:tc>
        <w:tc>
          <w:tcPr>
            <w:tcW w:w="0" w:type="dxa"/>
            <w:vAlign w:val="bottom"/>
          </w:tcPr>
          <w:p>
            <w:pPr>
              <w:spacing w:after="0"/>
              <w:rPr>
                <w:sz w:val="1"/>
                <w:szCs w:val="1"/>
                <w:color w:val="auto"/>
              </w:rPr>
            </w:pPr>
          </w:p>
        </w:tc>
      </w:tr>
      <w:tr>
        <w:trPr>
          <w:trHeight w:val="15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Cyber vulnerability response expenses, net</w:t>
            </w: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12.4</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12.4</w:t>
            </w:r>
          </w:p>
        </w:tc>
        <w:tc>
          <w:tcPr>
            <w:tcW w:w="0" w:type="dxa"/>
            <w:vAlign w:val="bottom"/>
          </w:tcPr>
          <w:p>
            <w:pPr>
              <w:spacing w:after="0"/>
              <w:rPr>
                <w:sz w:val="1"/>
                <w:szCs w:val="1"/>
                <w:color w:val="auto"/>
              </w:rPr>
            </w:pPr>
          </w:p>
        </w:tc>
      </w:tr>
      <w:tr>
        <w:trPr>
          <w:trHeight w:val="142"/>
        </w:trPr>
        <w:tc>
          <w:tcPr>
            <w:tcW w:w="7120" w:type="dxa"/>
            <w:vAlign w:val="bottom"/>
            <w:tcBorders>
              <w:bottom w:val="single" w:sz="8" w:color="CCEEFF"/>
            </w:tcBorders>
          </w:tcPr>
          <w:p>
            <w:pPr>
              <w:ind w:left="300"/>
              <w:spacing w:after="0" w:line="142" w:lineRule="exact"/>
              <w:rPr>
                <w:sz w:val="20"/>
                <w:szCs w:val="20"/>
                <w:color w:val="auto"/>
              </w:rPr>
            </w:pPr>
            <w:r>
              <w:rPr>
                <w:rFonts w:ascii="Times New Roman" w:cs="Times New Roman" w:eastAsia="Times New Roman" w:hAnsi="Times New Roman"/>
                <w:sz w:val="12"/>
                <w:szCs w:val="12"/>
                <w:color w:val="auto"/>
              </w:rPr>
              <w:t>Total adjustments</w:t>
            </w:r>
            <w:r>
              <w:rPr>
                <w:rFonts w:ascii="Times New Roman" w:cs="Times New Roman" w:eastAsia="Times New Roman" w:hAnsi="Times New Roman"/>
                <w:sz w:val="15"/>
                <w:szCs w:val="15"/>
                <w:color w:val="auto"/>
                <w:vertAlign w:val="superscript"/>
              </w:rPr>
              <w:t>(1)</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230.8</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230.8</w:t>
            </w:r>
          </w:p>
        </w:tc>
        <w:tc>
          <w:tcPr>
            <w:tcW w:w="0" w:type="dxa"/>
            <w:vAlign w:val="bottom"/>
          </w:tcPr>
          <w:p>
            <w:pPr>
              <w:spacing w:after="0"/>
              <w:rPr>
                <w:sz w:val="1"/>
                <w:szCs w:val="1"/>
                <w:color w:val="auto"/>
              </w:rPr>
            </w:pPr>
          </w:p>
        </w:tc>
      </w:tr>
      <w:tr>
        <w:trPr>
          <w:trHeight w:val="162"/>
        </w:trPr>
        <w:tc>
          <w:tcPr>
            <w:tcW w:w="712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Non-GAAP income from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388.0</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394.9</w:t>
            </w:r>
          </w:p>
        </w:tc>
        <w:tc>
          <w:tcPr>
            <w:tcW w:w="0" w:type="dxa"/>
            <w:vAlign w:val="bottom"/>
          </w:tcPr>
          <w:p>
            <w:pPr>
              <w:spacing w:after="0"/>
              <w:rPr>
                <w:sz w:val="1"/>
                <w:szCs w:val="1"/>
                <w:color w:val="auto"/>
              </w:rPr>
            </w:pPr>
          </w:p>
        </w:tc>
      </w:tr>
      <w:tr>
        <w:trPr>
          <w:trHeight w:val="121"/>
        </w:trPr>
        <w:tc>
          <w:tcPr>
            <w:tcW w:w="71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Non-GAAP operating margin</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39 %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39 %</w:t>
            </w:r>
          </w:p>
        </w:tc>
        <w:tc>
          <w:tcPr>
            <w:tcW w:w="0" w:type="dxa"/>
            <w:vAlign w:val="bottom"/>
          </w:tcPr>
          <w:p>
            <w:pPr>
              <w:spacing w:after="0"/>
              <w:rPr>
                <w:sz w:val="1"/>
                <w:szCs w:val="1"/>
                <w:color w:val="auto"/>
              </w:rPr>
            </w:pPr>
          </w:p>
        </w:tc>
      </w:tr>
      <w:tr>
        <w:trPr>
          <w:trHeight w:val="397"/>
        </w:trPr>
        <w:tc>
          <w:tcPr>
            <w:tcW w:w="7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Fiscal Year 2026 Updated Non-GAAP Earnings per Share and Effective Tax Rate Guidance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20" w:type="dxa"/>
            <w:vAlign w:val="bottom"/>
            <w:gridSpan w:val="6"/>
            <w:vMerge w:val="restart"/>
          </w:tcPr>
          <w:p>
            <w:pPr>
              <w:jc w:val="right"/>
              <w:ind w:right="1021"/>
              <w:spacing w:after="0"/>
              <w:rPr>
                <w:sz w:val="20"/>
                <w:szCs w:val="20"/>
                <w:color w:val="auto"/>
              </w:rPr>
            </w:pPr>
            <w:r>
              <w:rPr>
                <w:rFonts w:ascii="Times New Roman" w:cs="Times New Roman" w:eastAsia="Times New Roman" w:hAnsi="Times New Roman"/>
                <w:sz w:val="12"/>
                <w:szCs w:val="12"/>
                <w:color w:val="auto"/>
              </w:rPr>
              <w:t>Fiscal Year Ending November 30, 2026</w:t>
            </w:r>
          </w:p>
        </w:tc>
        <w:tc>
          <w:tcPr>
            <w:tcW w:w="0" w:type="dxa"/>
            <w:vAlign w:val="bottom"/>
          </w:tcPr>
          <w:p>
            <w:pPr>
              <w:spacing w:after="0"/>
              <w:rPr>
                <w:sz w:val="1"/>
                <w:szCs w:val="1"/>
                <w:color w:val="auto"/>
              </w:rPr>
            </w:pPr>
          </w:p>
        </w:tc>
      </w:tr>
      <w:tr>
        <w:trPr>
          <w:trHeight w:val="153"/>
        </w:trPr>
        <w:tc>
          <w:tcPr>
            <w:tcW w:w="7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millions, except per share data)</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3"/>
          </w:tcPr>
          <w:p>
            <w:pPr>
              <w:ind w:left="440"/>
              <w:spacing w:after="0"/>
              <w:rPr>
                <w:sz w:val="20"/>
                <w:szCs w:val="20"/>
                <w:color w:val="auto"/>
              </w:rPr>
            </w:pPr>
            <w:r>
              <w:rPr>
                <w:rFonts w:ascii="Times New Roman" w:cs="Times New Roman" w:eastAsia="Times New Roman" w:hAnsi="Times New Roman"/>
                <w:sz w:val="12"/>
                <w:szCs w:val="12"/>
                <w:color w:val="auto"/>
              </w:rPr>
              <w:t>Low</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jc w:val="right"/>
              <w:ind w:right="821"/>
              <w:spacing w:after="0"/>
              <w:rPr>
                <w:sz w:val="20"/>
                <w:szCs w:val="20"/>
                <w:color w:val="auto"/>
              </w:rPr>
            </w:pPr>
            <w:r>
              <w:rPr>
                <w:rFonts w:ascii="Times New Roman" w:cs="Times New Roman" w:eastAsia="Times New Roman" w:hAnsi="Times New Roman"/>
                <w:sz w:val="12"/>
                <w:szCs w:val="12"/>
                <w:color w:val="auto"/>
              </w:rPr>
              <w:t>High</w:t>
            </w:r>
          </w:p>
        </w:tc>
        <w:tc>
          <w:tcPr>
            <w:tcW w:w="0" w:type="dxa"/>
            <w:vAlign w:val="bottom"/>
          </w:tcPr>
          <w:p>
            <w:pPr>
              <w:spacing w:after="0"/>
              <w:rPr>
                <w:sz w:val="1"/>
                <w:szCs w:val="1"/>
                <w:color w:val="auto"/>
              </w:rPr>
            </w:pPr>
          </w:p>
        </w:tc>
      </w:tr>
      <w:tr>
        <w:trPr>
          <w:trHeight w:val="142"/>
        </w:trPr>
        <w:tc>
          <w:tcPr>
            <w:tcW w:w="712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GAAP net income</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67.7</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73.6</w:t>
            </w:r>
          </w:p>
        </w:tc>
        <w:tc>
          <w:tcPr>
            <w:tcW w:w="0" w:type="dxa"/>
            <w:vAlign w:val="bottom"/>
          </w:tcPr>
          <w:p>
            <w:pPr>
              <w:spacing w:after="0"/>
              <w:rPr>
                <w:sz w:val="1"/>
                <w:szCs w:val="1"/>
                <w:color w:val="auto"/>
              </w:rPr>
            </w:pPr>
          </w:p>
        </w:tc>
      </w:tr>
      <w:tr>
        <w:trPr>
          <w:trHeight w:val="153"/>
        </w:trPr>
        <w:tc>
          <w:tcPr>
            <w:tcW w:w="7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Adjustments (from previous table)</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230.8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230.8</w:t>
            </w:r>
          </w:p>
        </w:tc>
        <w:tc>
          <w:tcPr>
            <w:tcW w:w="0" w:type="dxa"/>
            <w:vAlign w:val="bottom"/>
          </w:tcPr>
          <w:p>
            <w:pPr>
              <w:spacing w:after="0"/>
              <w:rPr>
                <w:sz w:val="1"/>
                <w:szCs w:val="1"/>
                <w:color w:val="auto"/>
              </w:rPr>
            </w:pPr>
          </w:p>
        </w:tc>
      </w:tr>
      <w:tr>
        <w:trPr>
          <w:trHeight w:val="153"/>
        </w:trPr>
        <w:tc>
          <w:tcPr>
            <w:tcW w:w="712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2"/>
                <w:szCs w:val="12"/>
                <w:color w:val="auto"/>
              </w:rPr>
              <w:t>Income tax adjustment</w:t>
            </w:r>
            <w:r>
              <w:rPr>
                <w:rFonts w:ascii="Times New Roman" w:cs="Times New Roman" w:eastAsia="Times New Roman" w:hAnsi="Times New Roman"/>
                <w:sz w:val="15"/>
                <w:szCs w:val="15"/>
                <w:color w:val="auto"/>
                <w:vertAlign w:val="superscript"/>
              </w:rPr>
              <w:t>(2)</w:t>
            </w:r>
          </w:p>
        </w:tc>
        <w:tc>
          <w:tcPr>
            <w:tcW w:w="1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(41.7)</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0" w:type="dxa"/>
            <w:vAlign w:val="bottom"/>
          </w:tcPr>
          <w:p>
            <w:pPr>
              <w:spacing w:after="0"/>
              <w:rPr>
                <w:sz w:val="1"/>
                <w:szCs w:val="1"/>
                <w:color w:val="auto"/>
              </w:rPr>
            </w:pPr>
          </w:p>
        </w:tc>
      </w:tr>
      <w:tr>
        <w:trPr>
          <w:trHeight w:val="158"/>
        </w:trPr>
        <w:tc>
          <w:tcPr>
            <w:tcW w:w="71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Non-GAAP net income</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256.8</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263.1</w:t>
            </w:r>
          </w:p>
        </w:tc>
        <w:tc>
          <w:tcPr>
            <w:tcW w:w="0" w:type="dxa"/>
            <w:vAlign w:val="bottom"/>
          </w:tcPr>
          <w:p>
            <w:pPr>
              <w:spacing w:after="0"/>
              <w:rPr>
                <w:sz w:val="1"/>
                <w:szCs w:val="1"/>
                <w:color w:val="auto"/>
              </w:rPr>
            </w:pPr>
          </w:p>
        </w:tc>
      </w:tr>
      <w:tr>
        <w:trPr>
          <w:trHeight w:val="153"/>
        </w:trPr>
        <w:tc>
          <w:tcPr>
            <w:tcW w:w="7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20" w:type="dxa"/>
            <w:vAlign w:val="bottom"/>
          </w:tcPr>
          <w:p>
            <w:pPr>
              <w:spacing w:after="0"/>
              <w:rPr>
                <w:sz w:val="20"/>
                <w:szCs w:val="20"/>
                <w:color w:val="auto"/>
              </w:rPr>
            </w:pPr>
            <w:r>
              <w:rPr>
                <w:rFonts w:ascii="Times New Roman" w:cs="Times New Roman" w:eastAsia="Times New Roman" w:hAnsi="Times New Roman"/>
                <w:sz w:val="12"/>
                <w:szCs w:val="12"/>
                <w:color w:val="auto"/>
              </w:rPr>
              <w:t>GAAP diluted earnings per share</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1.60</w:t>
            </w:r>
          </w:p>
        </w:tc>
        <w:tc>
          <w:tcPr>
            <w:tcW w:w="40" w:type="dxa"/>
            <w:vAlign w:val="bottom"/>
          </w:tcPr>
          <w:p>
            <w:pPr>
              <w:spacing w:after="0"/>
              <w:rPr>
                <w:sz w:val="13"/>
                <w:szCs w:val="13"/>
                <w:color w:val="auto"/>
              </w:rPr>
            </w:pPr>
          </w:p>
        </w:tc>
        <w:tc>
          <w:tcPr>
            <w:tcW w:w="520" w:type="dxa"/>
            <w:vAlign w:val="bottom"/>
            <w:gridSpan w:val="2"/>
          </w:tcPr>
          <w:p>
            <w:pPr>
              <w:jc w:val="right"/>
              <w:ind w:right="346"/>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1.74</w:t>
            </w:r>
          </w:p>
        </w:tc>
        <w:tc>
          <w:tcPr>
            <w:tcW w:w="0" w:type="dxa"/>
            <w:vAlign w:val="bottom"/>
          </w:tcPr>
          <w:p>
            <w:pPr>
              <w:spacing w:after="0"/>
              <w:rPr>
                <w:sz w:val="1"/>
                <w:szCs w:val="1"/>
                <w:color w:val="auto"/>
              </w:rPr>
            </w:pPr>
          </w:p>
        </w:tc>
      </w:tr>
      <w:tr>
        <w:trPr>
          <w:trHeight w:val="153"/>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diluted earnings per share</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6.09</w:t>
            </w:r>
          </w:p>
        </w:tc>
        <w:tc>
          <w:tcPr>
            <w:tcW w:w="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346"/>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6.21</w:t>
            </w:r>
          </w:p>
        </w:tc>
        <w:tc>
          <w:tcPr>
            <w:tcW w:w="0" w:type="dxa"/>
            <w:vAlign w:val="bottom"/>
          </w:tcPr>
          <w:p>
            <w:pPr>
              <w:spacing w:after="0"/>
              <w:rPr>
                <w:sz w:val="1"/>
                <w:szCs w:val="1"/>
                <w:color w:val="auto"/>
              </w:rPr>
            </w:pPr>
          </w:p>
        </w:tc>
      </w:tr>
      <w:tr>
        <w:trPr>
          <w:trHeight w:val="144"/>
        </w:trPr>
        <w:tc>
          <w:tcPr>
            <w:tcW w:w="7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weighted average shares outstanding</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1194435</wp:posOffset>
            </wp:positionV>
            <wp:extent cx="37776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776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hanging="36"/>
        <w:spacing w:after="0"/>
        <w:tabs>
          <w:tab w:leader="none" w:pos="40" w:val="left"/>
        </w:tabs>
        <w:numPr>
          <w:ilvl w:val="0"/>
          <w:numId w:val="5"/>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Total adjustments include preliminary estimates relating to the valuation of intangible assets acquired from Nuclia and restructuring expenses. The final amounts will not be available until the Company's internal procedures and reviews are completed.</w:t>
      </w:r>
    </w:p>
    <w:p>
      <w:pPr>
        <w:spacing w:after="0" w:line="29" w:lineRule="exact"/>
        <w:rPr>
          <w:rFonts w:ascii="Times New Roman" w:cs="Times New Roman" w:eastAsia="Times New Roman" w:hAnsi="Times New Roman"/>
          <w:sz w:val="10"/>
          <w:szCs w:val="10"/>
          <w:color w:val="auto"/>
          <w:vertAlign w:val="superscript"/>
        </w:rPr>
      </w:pPr>
    </w:p>
    <w:p>
      <w:pPr>
        <w:spacing w:after="0"/>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10"/>
          <w:szCs w:val="10"/>
          <w:color w:val="auto"/>
          <w:vertAlign w:val="superscript"/>
        </w:rPr>
        <w:t>2</w:t>
      </w:r>
      <w:r>
        <w:rPr>
          <w:rFonts w:ascii="Times New Roman" w:cs="Times New Roman" w:eastAsia="Times New Roman" w:hAnsi="Times New Roman"/>
          <w:sz w:val="8"/>
          <w:szCs w:val="8"/>
          <w:color w:val="auto"/>
        </w:rPr>
        <w:t xml:space="preserve"> Tax adjustment is based on a non-GAAP effective tax rate of approximately 20%, calculated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12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0"/>
                <w:szCs w:val="10"/>
                <w:color w:val="auto"/>
              </w:rPr>
              <w:t>Fiscal Year Ending November 30, 2026</w:t>
            </w: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120" w:type="dxa"/>
            <w:vAlign w:val="bottom"/>
          </w:tcPr>
          <w:p>
            <w:pPr>
              <w:spacing w:after="0"/>
              <w:rPr>
                <w:sz w:val="10"/>
                <w:szCs w:val="10"/>
                <w:color w:val="auto"/>
              </w:rPr>
            </w:pP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Low</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0"/>
                <w:szCs w:val="10"/>
                <w:color w:val="auto"/>
              </w:rPr>
              <w:t>High</w:t>
            </w:r>
          </w:p>
        </w:tc>
        <w:tc>
          <w:tcPr>
            <w:tcW w:w="0" w:type="dxa"/>
            <w:vAlign w:val="bottom"/>
          </w:tcPr>
          <w:p>
            <w:pPr>
              <w:spacing w:after="0"/>
              <w:rPr>
                <w:sz w:val="1"/>
                <w:szCs w:val="1"/>
                <w:color w:val="auto"/>
              </w:rPr>
            </w:pPr>
          </w:p>
        </w:tc>
      </w:tr>
      <w:tr>
        <w:trPr>
          <w:trHeight w:val="123"/>
        </w:trPr>
        <w:tc>
          <w:tcPr>
            <w:tcW w:w="7120" w:type="dxa"/>
            <w:vAlign w:val="bottom"/>
          </w:tcPr>
          <w:p>
            <w:pPr>
              <w:spacing w:after="0" w:line="109" w:lineRule="exact"/>
              <w:rPr>
                <w:sz w:val="20"/>
                <w:szCs w:val="20"/>
                <w:color w:val="auto"/>
              </w:rPr>
            </w:pPr>
            <w:r>
              <w:rPr>
                <w:rFonts w:ascii="Times New Roman" w:cs="Times New Roman" w:eastAsia="Times New Roman" w:hAnsi="Times New Roman"/>
                <w:sz w:val="10"/>
                <w:szCs w:val="10"/>
                <w:color w:val="auto"/>
              </w:rPr>
              <w:t>Non-GAAP income from operations</w:t>
            </w:r>
          </w:p>
        </w:tc>
        <w:tc>
          <w:tcPr>
            <w:tcW w:w="122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388.0</w:t>
            </w:r>
          </w:p>
        </w:tc>
        <w:tc>
          <w:tcPr>
            <w:tcW w:w="100" w:type="dxa"/>
            <w:vAlign w:val="bottom"/>
          </w:tcPr>
          <w:p>
            <w:pPr>
              <w:spacing w:after="0"/>
              <w:rPr>
                <w:sz w:val="10"/>
                <w:szCs w:val="10"/>
                <w:color w:val="auto"/>
              </w:rPr>
            </w:pPr>
          </w:p>
        </w:tc>
        <w:tc>
          <w:tcPr>
            <w:tcW w:w="820" w:type="dxa"/>
            <w:vAlign w:val="bottom"/>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394.9</w:t>
            </w:r>
          </w:p>
        </w:tc>
        <w:tc>
          <w:tcPr>
            <w:tcW w:w="0" w:type="dxa"/>
            <w:vAlign w:val="bottom"/>
          </w:tcPr>
          <w:p>
            <w:pPr>
              <w:spacing w:after="0"/>
              <w:rPr>
                <w:sz w:val="1"/>
                <w:szCs w:val="1"/>
                <w:color w:val="auto"/>
              </w:rPr>
            </w:pPr>
          </w:p>
        </w:tc>
      </w:tr>
      <w:tr>
        <w:trPr>
          <w:trHeight w:val="136"/>
        </w:trPr>
        <w:tc>
          <w:tcPr>
            <w:tcW w:w="71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Other (expense) income, net</w:t>
            </w:r>
          </w:p>
        </w:tc>
        <w:tc>
          <w:tcPr>
            <w:tcW w:w="1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(67.0)</w:t>
            </w:r>
          </w:p>
        </w:tc>
        <w:tc>
          <w:tcPr>
            <w:tcW w:w="1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(66.0)</w:t>
            </w:r>
          </w:p>
        </w:tc>
        <w:tc>
          <w:tcPr>
            <w:tcW w:w="0" w:type="dxa"/>
            <w:vAlign w:val="bottom"/>
          </w:tcPr>
          <w:p>
            <w:pPr>
              <w:spacing w:after="0"/>
              <w:rPr>
                <w:sz w:val="1"/>
                <w:szCs w:val="1"/>
                <w:color w:val="auto"/>
              </w:rPr>
            </w:pPr>
          </w:p>
        </w:tc>
      </w:tr>
      <w:tr>
        <w:trPr>
          <w:trHeight w:val="124"/>
        </w:trPr>
        <w:tc>
          <w:tcPr>
            <w:tcW w:w="7120" w:type="dxa"/>
            <w:vAlign w:val="bottom"/>
          </w:tcPr>
          <w:p>
            <w:pPr>
              <w:spacing w:after="0" w:line="109" w:lineRule="exact"/>
              <w:rPr>
                <w:sz w:val="20"/>
                <w:szCs w:val="20"/>
                <w:color w:val="auto"/>
              </w:rPr>
            </w:pPr>
            <w:r>
              <w:rPr>
                <w:rFonts w:ascii="Times New Roman" w:cs="Times New Roman" w:eastAsia="Times New Roman" w:hAnsi="Times New Roman"/>
                <w:sz w:val="10"/>
                <w:szCs w:val="10"/>
                <w:color w:val="auto"/>
              </w:rPr>
              <w:t>Non-GAAP income from continuing operations before income taxes</w:t>
            </w:r>
          </w:p>
        </w:tc>
        <w:tc>
          <w:tcPr>
            <w:tcW w:w="1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321.0</w:t>
            </w:r>
          </w:p>
        </w:tc>
        <w:tc>
          <w:tcPr>
            <w:tcW w:w="1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328.9</w:t>
            </w:r>
          </w:p>
        </w:tc>
        <w:tc>
          <w:tcPr>
            <w:tcW w:w="0" w:type="dxa"/>
            <w:vAlign w:val="bottom"/>
          </w:tcPr>
          <w:p>
            <w:pPr>
              <w:spacing w:after="0"/>
              <w:rPr>
                <w:sz w:val="1"/>
                <w:szCs w:val="1"/>
                <w:color w:val="auto"/>
              </w:rPr>
            </w:pPr>
          </w:p>
        </w:tc>
      </w:tr>
      <w:tr>
        <w:trPr>
          <w:trHeight w:val="124"/>
        </w:trPr>
        <w:tc>
          <w:tcPr>
            <w:tcW w:w="7120" w:type="dxa"/>
            <w:vAlign w:val="bottom"/>
          </w:tcPr>
          <w:p>
            <w:pPr>
              <w:ind w:left="140"/>
              <w:spacing w:after="0" w:line="109" w:lineRule="exact"/>
              <w:rPr>
                <w:sz w:val="20"/>
                <w:szCs w:val="20"/>
                <w:color w:val="auto"/>
              </w:rPr>
            </w:pPr>
            <w:r>
              <w:rPr>
                <w:rFonts w:ascii="Times New Roman" w:cs="Times New Roman" w:eastAsia="Times New Roman" w:hAnsi="Times New Roman"/>
                <w:sz w:val="10"/>
                <w:szCs w:val="10"/>
                <w:color w:val="auto"/>
              </w:rPr>
              <w:t>Non-GAAP net income</w:t>
            </w:r>
          </w:p>
        </w:tc>
        <w:tc>
          <w:tcPr>
            <w:tcW w:w="1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256.8</w:t>
            </w:r>
          </w:p>
        </w:tc>
        <w:tc>
          <w:tcPr>
            <w:tcW w:w="1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263.1</w:t>
            </w:r>
          </w:p>
        </w:tc>
        <w:tc>
          <w:tcPr>
            <w:tcW w:w="0" w:type="dxa"/>
            <w:vAlign w:val="bottom"/>
          </w:tcPr>
          <w:p>
            <w:pPr>
              <w:spacing w:after="0"/>
              <w:rPr>
                <w:sz w:val="1"/>
                <w:szCs w:val="1"/>
                <w:color w:val="auto"/>
              </w:rPr>
            </w:pPr>
          </w:p>
        </w:tc>
      </w:tr>
      <w:tr>
        <w:trPr>
          <w:trHeight w:val="124"/>
        </w:trPr>
        <w:tc>
          <w:tcPr>
            <w:tcW w:w="7120" w:type="dxa"/>
            <w:vAlign w:val="bottom"/>
          </w:tcPr>
          <w:p>
            <w:pPr>
              <w:spacing w:after="0" w:line="109" w:lineRule="exact"/>
              <w:rPr>
                <w:sz w:val="20"/>
                <w:szCs w:val="20"/>
                <w:color w:val="auto"/>
              </w:rPr>
            </w:pPr>
            <w:r>
              <w:rPr>
                <w:rFonts w:ascii="Times New Roman" w:cs="Times New Roman" w:eastAsia="Times New Roman" w:hAnsi="Times New Roman"/>
                <w:sz w:val="10"/>
                <w:szCs w:val="10"/>
                <w:color w:val="auto"/>
              </w:rPr>
              <w:t>Tax provision</w:t>
            </w:r>
          </w:p>
        </w:tc>
        <w:tc>
          <w:tcPr>
            <w:tcW w:w="122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64.2</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65.8</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Non-GAAP tax rate</w:t>
            </w: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1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20 %</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719" w:right="299" w:bottom="1440" w:gutter="0" w:footer="0" w:header="0"/>
        </w:sectPr>
      </w:pPr>
    </w:p>
    <w:bookmarkStart w:id="10" w:name="page11"/>
    <w:bookmarkEnd w:id="10"/>
    <w:p>
      <w:pPr>
        <w:ind w:right="52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RECONCILIATIONS OF GAAP TO NON-GAAP FINANCIAL MEASURES FOR FISCAL YEAR 2026 GUIDANCE </w:t>
      </w:r>
      <w:r>
        <w:rPr>
          <w:rFonts w:ascii="Times New Roman" w:cs="Times New Roman" w:eastAsia="Times New Roman" w:hAnsi="Times New Roman"/>
          <w:sz w:val="12"/>
          <w:szCs w:val="12"/>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Fiscal Year 2026 Updated Adjusted Free Cash Flow and Unlevered Free Cash Flow Guidance</w:t>
      </w:r>
    </w:p>
    <w:p>
      <w:pPr>
        <w:spacing w:after="0" w:line="21"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2"/>
          <w:szCs w:val="12"/>
          <w:color w:val="auto"/>
        </w:rPr>
        <w:t>Fiscal Year Ending November 30, 2026</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i w:val="1"/>
                <w:iCs w:val="1"/>
                <w:color w:val="auto"/>
              </w:rPr>
              <w:t>(in millions)</w:t>
            </w:r>
          </w:p>
        </w:tc>
        <w:tc>
          <w:tcPr>
            <w:tcW w:w="1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Low</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2"/>
                <w:szCs w:val="12"/>
                <w:color w:val="auto"/>
              </w:rPr>
              <w:t>High</w:t>
            </w:r>
          </w:p>
        </w:tc>
        <w:tc>
          <w:tcPr>
            <w:tcW w:w="6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Cash flows from operations (GAAP)</w:t>
            </w:r>
          </w:p>
        </w:tc>
        <w:tc>
          <w:tcPr>
            <w:tcW w:w="1400" w:type="dxa"/>
            <w:vAlign w:val="bottom"/>
            <w:shd w:val="clear" w:color="auto" w:fill="CCEEFF"/>
          </w:tcPr>
          <w:p>
            <w:pPr>
              <w:jc w:val="right"/>
              <w:ind w:right="12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12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0" w:type="dxa"/>
            <w:vAlign w:val="bottom"/>
          </w:tcPr>
          <w:p>
            <w:pPr>
              <w:spacing w:after="0"/>
              <w:rPr>
                <w:sz w:val="1"/>
                <w:szCs w:val="1"/>
                <w:color w:val="auto"/>
              </w:rPr>
            </w:pPr>
          </w:p>
        </w:tc>
      </w:tr>
      <w:tr>
        <w:trPr>
          <w:trHeight w:val="153"/>
        </w:trPr>
        <w:tc>
          <w:tcPr>
            <w:tcW w:w="7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Add back: restructuring payments</w:t>
            </w:r>
          </w:p>
        </w:tc>
        <w:tc>
          <w:tcPr>
            <w:tcW w:w="1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42"/>
        </w:trPr>
        <w:tc>
          <w:tcPr>
            <w:tcW w:w="72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Adjusted free cash flow (non-GAAP)</w:t>
            </w:r>
          </w:p>
        </w:tc>
        <w:tc>
          <w:tcPr>
            <w:tcW w:w="1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Add back: tax-effected interest expense</w:t>
            </w:r>
          </w:p>
        </w:tc>
        <w:tc>
          <w:tcPr>
            <w:tcW w:w="1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42"/>
        </w:trPr>
        <w:tc>
          <w:tcPr>
            <w:tcW w:w="72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Unlevered free cash flow (non-GAAP)</w:t>
            </w:r>
          </w:p>
        </w:tc>
        <w:tc>
          <w:tcPr>
            <w:tcW w:w="1400" w:type="dxa"/>
            <w:vAlign w:val="bottom"/>
            <w:tcBorders>
              <w:bottom w:val="single" w:sz="8" w:color="auto"/>
            </w:tcBorders>
          </w:tcPr>
          <w:p>
            <w:pPr>
              <w:jc w:val="right"/>
              <w:ind w:right="12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00" w:type="dxa"/>
            <w:vAlign w:val="bottom"/>
          </w:tcPr>
          <w:p>
            <w:pPr>
              <w:spacing w:after="0"/>
              <w:rPr>
                <w:sz w:val="12"/>
                <w:szCs w:val="12"/>
                <w:color w:val="auto"/>
              </w:rPr>
            </w:pPr>
          </w:p>
        </w:tc>
        <w:tc>
          <w:tcPr>
            <w:tcW w:w="1380" w:type="dxa"/>
            <w:vAlign w:val="bottom"/>
            <w:tcBorders>
              <w:bottom w:val="single" w:sz="8" w:color="auto"/>
            </w:tcBorders>
          </w:tcPr>
          <w:p>
            <w:pPr>
              <w:jc w:val="right"/>
              <w:ind w:right="12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RECONCILIATIONS OF GAAP TO NON-GAAP FINANCIAL MEASURES FOR Q3 2026 GUIDANCE</w:t>
            </w: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2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240" w:type="dxa"/>
            <w:vAlign w:val="bottom"/>
          </w:tcPr>
          <w:p>
            <w:pPr>
              <w:spacing w:after="0"/>
              <w:rPr>
                <w:sz w:val="20"/>
                <w:szCs w:val="20"/>
                <w:color w:val="auto"/>
              </w:rPr>
            </w:pPr>
            <w:r>
              <w:rPr>
                <w:rFonts w:ascii="Times New Roman" w:cs="Times New Roman" w:eastAsia="Times New Roman" w:hAnsi="Times New Roman"/>
                <w:sz w:val="12"/>
                <w:szCs w:val="12"/>
                <w:color w:val="auto"/>
              </w:rPr>
              <w:t>(Unaudited)</w:t>
            </w: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7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Q3 2026 Non-GAAP Earnings per Share Guidance</w:t>
            </w:r>
          </w:p>
        </w:tc>
        <w:tc>
          <w:tcPr>
            <w:tcW w:w="3460" w:type="dxa"/>
            <w:vAlign w:val="bottom"/>
            <w:gridSpan w:val="4"/>
            <w:vMerge w:val="restart"/>
          </w:tcPr>
          <w:p>
            <w:pPr>
              <w:jc w:val="right"/>
              <w:ind w:right="424"/>
              <w:spacing w:after="0"/>
              <w:rPr>
                <w:sz w:val="20"/>
                <w:szCs w:val="20"/>
                <w:color w:val="auto"/>
              </w:rPr>
            </w:pPr>
            <w:r>
              <w:rPr>
                <w:rFonts w:ascii="Times New Roman" w:cs="Times New Roman" w:eastAsia="Times New Roman" w:hAnsi="Times New Roman"/>
                <w:sz w:val="12"/>
                <w:szCs w:val="12"/>
                <w:color w:val="auto"/>
              </w:rPr>
              <w:t>Three Months Ending August 31, 2026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240" w:type="dxa"/>
            <w:vAlign w:val="bottom"/>
          </w:tcPr>
          <w:p>
            <w:pPr>
              <w:spacing w:after="0"/>
              <w:rPr>
                <w:sz w:val="13"/>
                <w:szCs w:val="13"/>
                <w:color w:val="auto"/>
              </w:rPr>
            </w:pPr>
          </w:p>
        </w:tc>
        <w:tc>
          <w:tcPr>
            <w:tcW w:w="3460" w:type="dxa"/>
            <w:vAlign w:val="bottom"/>
            <w:tcBorders>
              <w:bottom w:val="single" w:sz="8" w:color="auto"/>
            </w:tcBorders>
            <w:gridSpan w:val="4"/>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Low</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2"/>
                <w:szCs w:val="12"/>
                <w:color w:val="auto"/>
              </w:rPr>
              <w:t>High</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GAAP diluted earnings per share</w:t>
            </w:r>
          </w:p>
        </w:tc>
        <w:tc>
          <w:tcPr>
            <w:tcW w:w="1400" w:type="dxa"/>
            <w:vAlign w:val="bottom"/>
            <w:shd w:val="clear" w:color="auto" w:fill="CCEEFF"/>
          </w:tcPr>
          <w:p>
            <w:pPr>
              <w:jc w:val="right"/>
              <w:ind w:right="12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12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0.41</w:t>
            </w:r>
          </w:p>
        </w:tc>
        <w:tc>
          <w:tcPr>
            <w:tcW w:w="0" w:type="dxa"/>
            <w:vAlign w:val="bottom"/>
          </w:tcPr>
          <w:p>
            <w:pPr>
              <w:spacing w:after="0"/>
              <w:rPr>
                <w:sz w:val="1"/>
                <w:szCs w:val="1"/>
                <w:color w:val="auto"/>
              </w:rPr>
            </w:pPr>
          </w:p>
        </w:tc>
      </w:tr>
      <w:tr>
        <w:trPr>
          <w:trHeight w:val="153"/>
        </w:trPr>
        <w:tc>
          <w:tcPr>
            <w:tcW w:w="7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Acquisition-related expense</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0.41</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0.41</w:t>
            </w:r>
          </w:p>
        </w:tc>
        <w:tc>
          <w:tcPr>
            <w:tcW w:w="0" w:type="dxa"/>
            <w:vAlign w:val="bottom"/>
          </w:tcPr>
          <w:p>
            <w:pPr>
              <w:spacing w:after="0"/>
              <w:rPr>
                <w:sz w:val="1"/>
                <w:szCs w:val="1"/>
                <w:color w:val="auto"/>
              </w:rPr>
            </w:pPr>
          </w:p>
        </w:tc>
      </w:tr>
      <w:tr>
        <w:trPr>
          <w:trHeight w:val="153"/>
        </w:trPr>
        <w:tc>
          <w:tcPr>
            <w:tcW w:w="7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acquired intangibles</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0.85</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0.85</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Cyber vulnerability response expenses, net</w:t>
            </w:r>
          </w:p>
        </w:tc>
        <w:tc>
          <w:tcPr>
            <w:tcW w:w="1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10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0" w:type="dxa"/>
            <w:vAlign w:val="bottom"/>
          </w:tcPr>
          <w:p>
            <w:pPr>
              <w:spacing w:after="0"/>
              <w:rPr>
                <w:sz w:val="1"/>
                <w:szCs w:val="1"/>
                <w:color w:val="auto"/>
              </w:rPr>
            </w:pPr>
          </w:p>
        </w:tc>
      </w:tr>
      <w:tr>
        <w:trPr>
          <w:trHeight w:val="142"/>
        </w:trPr>
        <w:tc>
          <w:tcPr>
            <w:tcW w:w="7240" w:type="dxa"/>
            <w:vAlign w:val="bottom"/>
          </w:tcPr>
          <w:p>
            <w:pPr>
              <w:ind w:left="300"/>
              <w:spacing w:after="0" w:line="142" w:lineRule="exact"/>
              <w:rPr>
                <w:sz w:val="20"/>
                <w:szCs w:val="20"/>
                <w:color w:val="auto"/>
              </w:rPr>
            </w:pPr>
            <w:r>
              <w:rPr>
                <w:rFonts w:ascii="Times New Roman" w:cs="Times New Roman" w:eastAsia="Times New Roman" w:hAnsi="Times New Roman"/>
                <w:sz w:val="12"/>
                <w:szCs w:val="12"/>
                <w:color w:val="auto"/>
              </w:rPr>
              <w:t>Total adjustments</w:t>
            </w:r>
            <w:r>
              <w:rPr>
                <w:rFonts w:ascii="Times New Roman" w:cs="Times New Roman" w:eastAsia="Times New Roman" w:hAnsi="Times New Roman"/>
                <w:sz w:val="15"/>
                <w:szCs w:val="15"/>
                <w:color w:val="auto"/>
                <w:vertAlign w:val="superscript"/>
              </w:rPr>
              <w:t>(3)</w:t>
            </w:r>
          </w:p>
        </w:tc>
        <w:tc>
          <w:tcPr>
            <w:tcW w:w="1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Income tax adjustment</w:t>
            </w:r>
          </w:p>
        </w:tc>
        <w:tc>
          <w:tcPr>
            <w:tcW w:w="1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(0.28)</w:t>
            </w:r>
          </w:p>
        </w:tc>
        <w:tc>
          <w:tcPr>
            <w:tcW w:w="10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(0.28)</w:t>
            </w:r>
          </w:p>
        </w:tc>
        <w:tc>
          <w:tcPr>
            <w:tcW w:w="0" w:type="dxa"/>
            <w:vAlign w:val="bottom"/>
          </w:tcPr>
          <w:p>
            <w:pPr>
              <w:spacing w:after="0"/>
              <w:rPr>
                <w:sz w:val="1"/>
                <w:szCs w:val="1"/>
                <w:color w:val="auto"/>
              </w:rPr>
            </w:pPr>
          </w:p>
        </w:tc>
      </w:tr>
      <w:tr>
        <w:trPr>
          <w:trHeight w:val="142"/>
        </w:trPr>
        <w:tc>
          <w:tcPr>
            <w:tcW w:w="72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Non-GAAP diluted earnings per share</w:t>
            </w:r>
          </w:p>
        </w:tc>
        <w:tc>
          <w:tcPr>
            <w:tcW w:w="1400" w:type="dxa"/>
            <w:vAlign w:val="bottom"/>
            <w:tcBorders>
              <w:bottom w:val="single" w:sz="8" w:color="auto"/>
            </w:tcBorders>
          </w:tcPr>
          <w:p>
            <w:pPr>
              <w:jc w:val="right"/>
              <w:ind w:right="12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00" w:type="dxa"/>
            <w:vAlign w:val="bottom"/>
          </w:tcPr>
          <w:p>
            <w:pPr>
              <w:spacing w:after="0"/>
              <w:rPr>
                <w:sz w:val="12"/>
                <w:szCs w:val="12"/>
                <w:color w:val="auto"/>
              </w:rPr>
            </w:pPr>
          </w:p>
        </w:tc>
        <w:tc>
          <w:tcPr>
            <w:tcW w:w="1380" w:type="dxa"/>
            <w:vAlign w:val="bottom"/>
            <w:tcBorders>
              <w:bottom w:val="single" w:sz="8" w:color="auto"/>
            </w:tcBorders>
          </w:tcPr>
          <w:p>
            <w:pPr>
              <w:jc w:val="right"/>
              <w:ind w:right="12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2937510</wp:posOffset>
            </wp:positionV>
            <wp:extent cx="364045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404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hanging="36"/>
        <w:spacing w:after="0"/>
        <w:tabs>
          <w:tab w:leader="none" w:pos="40" w:val="left"/>
        </w:tabs>
        <w:numPr>
          <w:ilvl w:val="0"/>
          <w:numId w:val="6"/>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Total adjustments include preliminary estimates relating to the valuation of intangible assets acquired from Nuclia and restructuring expenses. The final amounts will not be available until the Company's internal procedures and reviews are completed.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719"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Important Information Regarding Non-GAAP Financial Measures, Liquidity Measures, and Select Performance Metrics</w:t>
      </w:r>
    </w:p>
    <w:p>
      <w:pPr>
        <w:spacing w:after="0" w:line="1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Progress furnishes certain non-GAAP supplemental information to our financial results. We use such non-GAAP financial measures to evaluate our period-over-period operating performance because our management team believes that excluding the effects of certain GAAP-related items helps to illustrate underlying trends in our business and provides us with a more comparable measure of our continuing business, as well as greater understanding of the results from the primary operations of our business. Management also uses such non-GAAP financial measures to establish budgets and operational goals, evaluate performance, and allocate resources. In addition, the compensation of our executives and non-executive employees is based in part on the performance of our business as evaluated by such non-GAAP financial measures. We believe these non-GAAP financial measures enhance investors' overall understanding of our current financial performance and our prospects for the future by: (i) providing more transparency for certain financial measures, (ii) presenting disclosure that helps investors understand how we plan and measure the performance of our business, (iii) affording a view of our operating results that may be more easily compared to our peer companies, and (iv) enabling investors to consider our operating results on both a GAAP and non-GAAP basis (including following the integration period of our prior acquisitions). However, this non-GAAP information is not in accordance with, or an alternative to, generally accepted accounting principles in the United States ("GAAP") and should be considered in conjunction with our GAAP results as the items excluded from the non-GAAP information may have a material impact on Progress' financial results. A reconciliation of non-GAAP adjustments to Progress' GAAP financial results is included in the tables above.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the noted fiscal periods, we adjusted for the following items from our GAAP financial results to arrive at our non-GAAP financial measures:</w:t>
      </w:r>
    </w:p>
    <w:p>
      <w:pPr>
        <w:spacing w:after="0" w:line="166" w:lineRule="exact"/>
        <w:rPr>
          <w:sz w:val="20"/>
          <w:szCs w:val="20"/>
          <w:color w:val="auto"/>
        </w:rPr>
      </w:pPr>
    </w:p>
    <w:p>
      <w:pPr>
        <w:ind w:left="420" w:right="40" w:hanging="212"/>
        <w:spacing w:after="0" w:line="257"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Amortization of acquired intangibles - </w:t>
      </w:r>
      <w:r>
        <w:rPr>
          <w:rFonts w:ascii="Times New Roman" w:cs="Times New Roman" w:eastAsia="Times New Roman" w:hAnsi="Times New Roman"/>
          <w:sz w:val="12"/>
          <w:szCs w:val="12"/>
          <w:color w:val="auto"/>
        </w:rPr>
        <w:t>We exclude amortization of acquired intangibles because those expenses are unrelated to our core operating performance and the intangible assets acquired vary significantly based on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timing and magnitude of our acquisition transactions and the maturities of the businesses acquired. Adjustments include preliminary estimates relating to the valuation of intangible assets from Nuclia. The final amounts will not be available until the Company's internal procedures and reviews are completed.</w:t>
      </w:r>
    </w:p>
    <w:p>
      <w:pPr>
        <w:spacing w:after="0" w:line="1" w:lineRule="exact"/>
        <w:rPr>
          <w:rFonts w:ascii="Times New Roman" w:cs="Times New Roman" w:eastAsia="Times New Roman" w:hAnsi="Times New Roman"/>
          <w:sz w:val="12"/>
          <w:szCs w:val="12"/>
          <w:color w:val="auto"/>
        </w:rPr>
      </w:pPr>
    </w:p>
    <w:p>
      <w:pPr>
        <w:ind w:left="420" w:right="100" w:hanging="212"/>
        <w:spacing w:after="0" w:line="25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Stock-based compensation - </w:t>
      </w:r>
      <w:r>
        <w:rPr>
          <w:rFonts w:ascii="Times New Roman" w:cs="Times New Roman" w:eastAsia="Times New Roman" w:hAnsi="Times New Roman"/>
          <w:sz w:val="12"/>
          <w:szCs w:val="12"/>
          <w:color w:val="auto"/>
        </w:rPr>
        <w:t>We exclude stock-based compensation to be consistent with the way management and, in our view, the overall financial community evaluates our performance and the methods used by analysts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calculate consensus estimates. The expense related to stock-based awards is generally not controllable in the short-term and can vary significantly based on the timing, size, and nature of awards granted. As such, we do not include these charges in operating plans.</w:t>
      </w: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Restructuring expenses - </w:t>
      </w:r>
      <w:r>
        <w:rPr>
          <w:rFonts w:ascii="Times New Roman" w:cs="Times New Roman" w:eastAsia="Times New Roman" w:hAnsi="Times New Roman"/>
          <w:sz w:val="12"/>
          <w:szCs w:val="12"/>
          <w:color w:val="auto"/>
        </w:rPr>
        <w:t>In all periods presented, we exclude restructuring expenses incurred because those expenses distort trends and are not part of our core operating results.</w:t>
      </w:r>
    </w:p>
    <w:p>
      <w:pPr>
        <w:spacing w:after="0" w:line="6" w:lineRule="exact"/>
        <w:rPr>
          <w:rFonts w:ascii="Times New Roman" w:cs="Times New Roman" w:eastAsia="Times New Roman" w:hAnsi="Times New Roman"/>
          <w:sz w:val="12"/>
          <w:szCs w:val="12"/>
          <w:color w:val="auto"/>
        </w:rPr>
      </w:pPr>
    </w:p>
    <w:p>
      <w:pPr>
        <w:ind w:left="420" w:right="120" w:hanging="212"/>
        <w:spacing w:after="0" w:line="25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Acquisition-related expenses - </w:t>
      </w:r>
      <w:r>
        <w:rPr>
          <w:rFonts w:ascii="Times New Roman" w:cs="Times New Roman" w:eastAsia="Times New Roman" w:hAnsi="Times New Roman"/>
          <w:sz w:val="12"/>
          <w:szCs w:val="12"/>
          <w:color w:val="auto"/>
        </w:rPr>
        <w:t>We exclude acquisition-related expenses in order to provide a more meaningful comparison of the financial results to our historical operations and forward-looking guidance and the financial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results of less acquisitive peer companies. We consider these types of costs and adjustments, to a great extent, to be unpredictable and dependent on a significant number of factors that are outside of our control. Furthermore, we do not consider these acquisition-related costs and adjustments to be related to the organic continuing operations of the acquired businesses and are generally not relevant to assessing or estimating the long-term performance of the acquired assets. In addition, the size, complexity, and/or volume of past acquisitions, which often drives the magnitude of acquisition-related costs, may not be indicative of the size, complexity, and/or volume of future acquisitions.</w:t>
      </w:r>
    </w:p>
    <w:p>
      <w:pPr>
        <w:spacing w:after="0" w:line="1" w:lineRule="exact"/>
        <w:rPr>
          <w:rFonts w:ascii="Times New Roman" w:cs="Times New Roman" w:eastAsia="Times New Roman" w:hAnsi="Times New Roman"/>
          <w:sz w:val="12"/>
          <w:szCs w:val="12"/>
          <w:color w:val="auto"/>
        </w:rPr>
      </w:pPr>
    </w:p>
    <w:p>
      <w:pPr>
        <w:ind w:left="420" w:hanging="212"/>
        <w:spacing w:after="0" w:line="273" w:lineRule="auto"/>
        <w:tabs>
          <w:tab w:leader="none" w:pos="417" w:val="left"/>
        </w:tabs>
        <w:numPr>
          <w:ilvl w:val="0"/>
          <w:numId w:val="7"/>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 xml:space="preserve">Cyber vulnerability response expenses, net - </w:t>
      </w:r>
      <w:r>
        <w:rPr>
          <w:rFonts w:ascii="Times New Roman" w:cs="Times New Roman" w:eastAsia="Times New Roman" w:hAnsi="Times New Roman"/>
          <w:sz w:val="11"/>
          <w:szCs w:val="11"/>
          <w:color w:val="auto"/>
        </w:rPr>
        <w:t>We exclude certain expenses resulting from the MOVEit Vulnerability, as more thoroughly described in our filings with the Securities and Exchange Commission since June 5, 2023.</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Such expenses primarily consist of legal and other professional services related thereto. Expenses related to such cyber matters are provided net of expected insurance recoveries, although the timing of recognizing insurance recoveries may differ from the timing of recognizing the associated expenses. Costs associated with the enhancement of our cybersecurity program are not included within this adjustment. We expect to continue to incur legal and other professional services expenses in future periods associated with the MOVEit Vulnerability. Expenses related to such cyber matters are expected to result in operating expenses that would not have otherwise been incurred in the normal course of business operations. We believe that excluding these costs facilitates a more meaningful evaluation of our operating performance and comparisons to our past operating performance.</w:t>
      </w:r>
    </w:p>
    <w:p>
      <w:pPr>
        <w:ind w:left="420" w:hanging="212"/>
        <w:spacing w:after="0"/>
        <w:tabs>
          <w:tab w:leader="none" w:pos="420" w:val="left"/>
        </w:tabs>
        <w:numPr>
          <w:ilvl w:val="0"/>
          <w:numId w:val="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Provision for income taxes </w:t>
      </w:r>
      <w:r>
        <w:rPr>
          <w:rFonts w:ascii="Times New Roman" w:cs="Times New Roman" w:eastAsia="Times New Roman" w:hAnsi="Times New Roman"/>
          <w:sz w:val="12"/>
          <w:szCs w:val="12"/>
          <w:color w:val="auto"/>
        </w:rPr>
        <w:t>- We adjust our income tax provision by excluding the tax impact of the non-GAAP adjustments discussed above.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80"/>
          </w:cols>
          <w:pgMar w:left="300" w:top="719" w:right="319" w:bottom="1440" w:gutter="0" w:footer="0" w:header="0"/>
        </w:sectPr>
      </w:pPr>
    </w:p>
    <w:bookmarkStart w:id="12" w:name="page13"/>
    <w:bookmarkEnd w:id="12"/>
    <w:p>
      <w:pPr>
        <w:ind w:left="420" w:right="260" w:hanging="212"/>
        <w:spacing w:after="0" w:line="261" w:lineRule="auto"/>
        <w:tabs>
          <w:tab w:leader="none" w:pos="41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Constant currency - </w:t>
      </w:r>
      <w:r>
        <w:rPr>
          <w:rFonts w:ascii="Times New Roman" w:cs="Times New Roman" w:eastAsia="Times New Roman" w:hAnsi="Times New Roman"/>
          <w:sz w:val="12"/>
          <w:szCs w:val="12"/>
          <w:color w:val="auto"/>
        </w:rPr>
        <w:t>Revenue from our international operations has historically represented a substantial portion of our total revenue. As a result, our revenue results have been impacted, and we expect will continue to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impacted, by fluctuations in foreign currency exchange rates. As exchange rates are an important factor in understanding period-to-period comparisons, we present revenue growth rates on a constant currency basis, which helps improve the understanding of our revenue results and our performance in comparison to prior periods. The constant currency information presented is calculated by translating current period results using prior period weighted average foreign currency exchange rates.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the noted fiscal periods, we also present the following liquidity measures:</w:t>
      </w:r>
    </w:p>
    <w:p>
      <w:pPr>
        <w:spacing w:after="0" w:line="166" w:lineRule="exact"/>
        <w:rPr>
          <w:sz w:val="20"/>
          <w:szCs w:val="20"/>
          <w:color w:val="auto"/>
        </w:rPr>
      </w:pPr>
    </w:p>
    <w:p>
      <w:pPr>
        <w:ind w:left="420" w:right="240" w:hanging="212"/>
        <w:spacing w:after="0" w:line="283" w:lineRule="auto"/>
        <w:tabs>
          <w:tab w:leader="none" w:pos="41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Adjusted free cash flow ("AFCF")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i w:val="1"/>
          <w:iCs w:val="1"/>
          <w:color w:val="auto"/>
        </w:rPr>
        <w:t xml:space="preserve"> unlevered free cash flow ("Unlevered FCF") </w:t>
      </w:r>
      <w:r>
        <w:rPr>
          <w:rFonts w:ascii="Times New Roman" w:cs="Times New Roman" w:eastAsia="Times New Roman" w:hAnsi="Times New Roman"/>
          <w:sz w:val="12"/>
          <w:szCs w:val="12"/>
          <w:color w:val="auto"/>
        </w:rPr>
        <w:t>- AFCF is equal to cash flows from operating activities less purchases of property and equipment, plus restructuring payments. Unlevered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FCF is AFCF plus tax-effected interest expense on outstanding debt.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the noted fiscal periods, we also present the following select performance metrics:</w:t>
      </w:r>
    </w:p>
    <w:p>
      <w:pPr>
        <w:spacing w:after="0" w:line="166" w:lineRule="exact"/>
        <w:rPr>
          <w:sz w:val="20"/>
          <w:szCs w:val="20"/>
          <w:color w:val="auto"/>
        </w:rPr>
      </w:pPr>
    </w:p>
    <w:p>
      <w:pPr>
        <w:jc w:val="both"/>
        <w:ind w:left="420" w:hanging="212"/>
        <w:spacing w:after="0" w:line="292" w:lineRule="auto"/>
        <w:tabs>
          <w:tab w:leader="none" w:pos="417"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 xml:space="preserve">Annualized Recurring Revenue ("ARR") - </w:t>
      </w:r>
      <w:r>
        <w:rPr>
          <w:rFonts w:ascii="Times New Roman" w:cs="Times New Roman" w:eastAsia="Times New Roman" w:hAnsi="Times New Roman"/>
          <w:sz w:val="11"/>
          <w:szCs w:val="11"/>
          <w:color w:val="auto"/>
        </w:rPr>
        <w:t>We disclose ARR as a performance metric to help investors better understand and assess the performance of our business because our mix of revenue generated from recurring sources</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currently represents the substantial majority of our revenues and is expected to continue in the future. We define ARR as the annualized revenue of all active and contractually binding term-based contracts from all customers at a point in time. ARR includes revenue from maintenance, software upgrade rights, public cloud, and on-premises subscription-based transactions and managed services. ARR mitigates fluctuations in revenue due to seasonality, contract term and the sales mix of subscriptions for term-based licenses and SaaS. We use ARR to understand customer trends and the overall health of our business, helping us to formulate strategic business decisions.</w:t>
      </w:r>
    </w:p>
    <w:p>
      <w:pPr>
        <w:spacing w:after="0" w:line="124" w:lineRule="exact"/>
        <w:rPr>
          <w:rFonts w:ascii="Times New Roman" w:cs="Times New Roman" w:eastAsia="Times New Roman" w:hAnsi="Times New Roman"/>
          <w:sz w:val="11"/>
          <w:szCs w:val="11"/>
          <w:color w:val="auto"/>
        </w:rPr>
      </w:pPr>
    </w:p>
    <w:p>
      <w:pPr>
        <w:ind w:left="420" w:right="100"/>
        <w:spacing w:after="0" w:line="25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We calculate the annualized value of annual and multi-year contracts, and contracts with terms less than one year, by dividing the total contract value of each contract by the number of months in the term and then multiplying by 12. Annualizing contracts with terms less than one-year results in amounts being included in our ARR that are in excess of the total contract value for those contracts at the end of the reporting period. We generally do not sell non-SaaS-based contracts with a term of less than one year unless a customer is purchasing additional licenses under an existing annual or multi-year contract. The expectation is that at the time of renewal, such contracts with a term less than one year will renew with the same term as the existing contracts being renewed, such that both contracts are co-termed. Historically, such contracts with a term of less than one year renew at rates equal to or better than annual or multi-year contracts.</w:t>
      </w:r>
    </w:p>
    <w:p>
      <w:pPr>
        <w:spacing w:after="0" w:line="143" w:lineRule="exact"/>
        <w:rPr>
          <w:rFonts w:ascii="Times New Roman" w:cs="Times New Roman" w:eastAsia="Times New Roman" w:hAnsi="Times New Roman"/>
          <w:sz w:val="11"/>
          <w:szCs w:val="11"/>
          <w:color w:val="auto"/>
        </w:rPr>
      </w:pPr>
    </w:p>
    <w:p>
      <w:pPr>
        <w:ind w:left="420" w:right="60"/>
        <w:spacing w:after="0" w:line="279"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For SaaS-based contracts, there is a meaningful percentage of monthly auto-renewing contracts for which annualizing the contracts results in amounts being included in our ARR that are in excess of the total contract value for those contracts at the end of the reporting period.</w:t>
      </w:r>
    </w:p>
    <w:p>
      <w:pPr>
        <w:spacing w:after="0" w:line="129" w:lineRule="exact"/>
        <w:rPr>
          <w:rFonts w:ascii="Times New Roman" w:cs="Times New Roman" w:eastAsia="Times New Roman" w:hAnsi="Times New Roman"/>
          <w:sz w:val="11"/>
          <w:szCs w:val="11"/>
          <w:color w:val="auto"/>
        </w:rPr>
      </w:pPr>
    </w:p>
    <w:p>
      <w:pPr>
        <w:ind w:left="420" w:right="60"/>
        <w:spacing w:after="0" w:line="265"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Revenue from term-based license and on-premises subscription arrangements include a portion of the arrangement consideration that is allocated to the software license that is recognized up-front at the point in time control is transferred under ASC 606 revenue recognition principles. ARR for these arrangements is calculated as described above. The expectation is that the total contract value, inclusive of revenue recognized as software license, will be renewed at the end of the contract term.</w:t>
      </w:r>
    </w:p>
    <w:p>
      <w:pPr>
        <w:spacing w:after="0" w:line="136" w:lineRule="exact"/>
        <w:rPr>
          <w:rFonts w:ascii="Times New Roman" w:cs="Times New Roman" w:eastAsia="Times New Roman" w:hAnsi="Times New Roman"/>
          <w:sz w:val="11"/>
          <w:szCs w:val="11"/>
          <w:color w:val="auto"/>
        </w:rPr>
      </w:pPr>
    </w:p>
    <w:p>
      <w:pPr>
        <w:ind w:left="4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The calculation is done at constant currency using the current year budgeted exchange rates for all periods presented.</w:t>
      </w:r>
    </w:p>
    <w:p>
      <w:pPr>
        <w:spacing w:after="0" w:line="168" w:lineRule="exact"/>
        <w:rPr>
          <w:rFonts w:ascii="Times New Roman" w:cs="Times New Roman" w:eastAsia="Times New Roman" w:hAnsi="Times New Roman"/>
          <w:sz w:val="11"/>
          <w:szCs w:val="11"/>
          <w:color w:val="auto"/>
        </w:rPr>
      </w:pPr>
    </w:p>
    <w:p>
      <w:pPr>
        <w:ind w:left="420"/>
        <w:spacing w:after="0" w:line="26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ARR is not defined in GAAP and is not derived from a GAAP measure. Rather, ARR generally aligns to billings (as opposed to GAAP revenue which aligns to the transfer of control of each performance obligation). ARR does not have any standardized meaning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721" w:right="299" w:bottom="1440" w:gutter="0" w:footer="0" w:header="0"/>
        </w:sectPr>
      </w:pPr>
    </w:p>
    <w:bookmarkStart w:id="13" w:name="page14"/>
    <w:bookmarkEnd w:id="13"/>
    <w:p>
      <w:pPr>
        <w:ind w:left="420" w:right="140" w:hanging="212"/>
        <w:spacing w:after="0" w:line="261" w:lineRule="auto"/>
        <w:tabs>
          <w:tab w:leader="none" w:pos="417" w:val="left"/>
        </w:tabs>
        <w:numPr>
          <w:ilvl w:val="0"/>
          <w:numId w:val="1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Net Retention Rate ("NRR") - </w:t>
      </w:r>
      <w:r>
        <w:rPr>
          <w:rFonts w:ascii="Times New Roman" w:cs="Times New Roman" w:eastAsia="Times New Roman" w:hAnsi="Times New Roman"/>
          <w:sz w:val="12"/>
          <w:szCs w:val="12"/>
          <w:color w:val="auto"/>
        </w:rPr>
        <w:t>We calculate net retention rate as of a period end by starting with the ARR from the cohort of all customers as of 12 months prior to such period end ("Prior Period ARR"). We then calculate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ARR from these same customers as of the current period end ("Current Period ARR"). Current Period ARR includes any expansion and is net of contraction or attrition over the last 12 months but excludes ARR from new customers in the current period. We then divide the total Current Period ARR by the total Prior Period ARR to arrive at the net retention rate. Net retention rate is not calculated in accordance with GAAP and is not derived from a GAAP measure.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Regarding Forward-Looking Statements</w:t>
      </w:r>
    </w:p>
    <w:p>
      <w:pPr>
        <w:spacing w:after="0" w:line="1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1"/>
          <w:szCs w:val="11"/>
          <w:color w:val="auto"/>
        </w:rPr>
        <w:t>This press release contains statements that are "forward-looking statements" within the meaning of Section 27A of the Securities Act of 1933, as amended, and Section 21E of the Securities Exchange Act of 1934, as amended. Progress has identified some of these forward-looking statements with words like "believe," "may," "could," "would," "might," "should," "expect," "intend," "plan," "target," "anticipate" and "continue," the negative of these words, other terms of similar meaning or the use of future dates. Forward-looking statements in this press release include, but are not limited to, statements regarding Progress' business outlook (including future acquisition activity) and financial guidance.</w:t>
      </w:r>
    </w:p>
    <w:p>
      <w:pPr>
        <w:spacing w:after="0" w:line="251" w:lineRule="auto"/>
        <w:rPr>
          <w:sz w:val="20"/>
          <w:szCs w:val="20"/>
          <w:color w:val="auto"/>
        </w:rPr>
      </w:pPr>
      <w:r>
        <w:rPr>
          <w:rFonts w:ascii="Times New Roman" w:cs="Times New Roman" w:eastAsia="Times New Roman" w:hAnsi="Times New Roman"/>
          <w:sz w:val="12"/>
          <w:szCs w:val="12"/>
          <w:color w:val="auto"/>
        </w:rPr>
        <w:t>There are a number of factors that could cause actual results or future events to differ materially from those anticipated by the forward-looking statements, including, without limitation: (i) economic, geopolitical, and market conditions can adversely affect our business, results of operations, and financial condition, including our revenue growth and profitability, which in turn could adversely affect our stock price; (ii) our international sales and operations subject us to additional risks that can adversely affect our operating results, including risks relating to foreign currency gains and losses; (iii) we may fail to achieve our financial forecasts due to such factors as delays or size reductions in transactions, fewer large transactions in a particular quarter, fluctuations in currency exchange rates, or a decline in our renewal rates for contracts; (iv) if the security measures for our software, services, other offerings or our internal information technology infrastructure are compromised or subject to a successful cyber-attack, or if our software offerings contain significant coding or configuration errors or zero-day vulnerabilities, we may experience reputational harm, legal claims and financial exposure; and the results of inquiries, investigations and legal claims regarding the MOVEit Vulnerability remain uncertain, while the ultimate resolution of these matters could result in losses that may be material to our financial results for a particular period; and (v) future acquisitions may not be successful or may involve unanticipated costs or other integration issues that could disrupt our existing operations. For further information regarding risks and uncertainties associated with Progress' business, please refer to our filings with the Securities and Exchange Commission, including our Annual Report on Form 10-K for the fiscal year ended November 30, 2025. Progress undertakes no obligation to update any forward-looking statements, which speak only as of the date of this press release.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280"/>
          </w:cols>
          <w:pgMar w:left="300" w:top="721" w:right="31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2026-06-30T15:04:39Z</dcterms:created>
  <dcterms:modified xsi:type="dcterms:W3CDTF">2026-06-30T15:04:39Z</dcterms:modified>
</cp:coreProperties>
</file>